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27DE" w:rsidRPr="00230DB2" w:rsidRDefault="004A27DE" w:rsidP="004A27DE">
      <w:pPr>
        <w:spacing w:line="260" w:lineRule="exact"/>
        <w:jc w:val="both"/>
        <w:rPr>
          <w:rFonts w:ascii="Arial" w:hAnsi="Arial" w:cs="Arial"/>
          <w:b/>
          <w:bCs/>
        </w:rPr>
      </w:pPr>
      <w:bookmarkStart w:id="0" w:name="_GoBack"/>
      <w:bookmarkEnd w:id="0"/>
      <w:r w:rsidRPr="00230DB2">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TAMAULIPAS</w:t>
      </w:r>
    </w:p>
    <w:p w:rsidR="004A27DE" w:rsidRPr="00230DB2" w:rsidRDefault="004A27DE" w:rsidP="004A27DE">
      <w:pPr>
        <w:spacing w:line="260" w:lineRule="exact"/>
        <w:jc w:val="both"/>
        <w:rPr>
          <w:rFonts w:ascii="Arial" w:hAnsi="Arial" w:cs="Arial"/>
          <w:b/>
          <w:bCs/>
        </w:rPr>
      </w:pPr>
    </w:p>
    <w:p w:rsidR="004A27DE" w:rsidRPr="00230DB2" w:rsidRDefault="004A27DE" w:rsidP="004A27DE">
      <w:pPr>
        <w:spacing w:line="260" w:lineRule="exact"/>
        <w:jc w:val="both"/>
        <w:rPr>
          <w:rFonts w:ascii="Arial" w:hAnsi="Arial" w:cs="Arial"/>
          <w:b/>
          <w:bCs/>
        </w:rPr>
      </w:pPr>
    </w:p>
    <w:p w:rsidR="004A27DE" w:rsidRPr="00230DB2" w:rsidRDefault="004A27DE" w:rsidP="004A27DE">
      <w:pPr>
        <w:autoSpaceDE w:val="0"/>
        <w:autoSpaceDN w:val="0"/>
        <w:adjustRightInd w:val="0"/>
        <w:spacing w:line="260" w:lineRule="exact"/>
        <w:jc w:val="center"/>
        <w:rPr>
          <w:rFonts w:ascii="Arial,Bold" w:hAnsi="Arial,Bold" w:cs="Arial,Bold"/>
          <w:b/>
          <w:bCs/>
        </w:rPr>
      </w:pPr>
    </w:p>
    <w:p w:rsidR="004A27DE" w:rsidRPr="00230DB2" w:rsidRDefault="004A27DE" w:rsidP="004A27DE">
      <w:pPr>
        <w:autoSpaceDE w:val="0"/>
        <w:autoSpaceDN w:val="0"/>
        <w:adjustRightInd w:val="0"/>
        <w:spacing w:line="260" w:lineRule="exact"/>
        <w:jc w:val="center"/>
        <w:rPr>
          <w:rFonts w:ascii="Arial,Bold" w:hAnsi="Arial,Bold" w:cs="Arial,Bold"/>
          <w:b/>
          <w:bCs/>
        </w:rPr>
      </w:pPr>
      <w:r w:rsidRPr="00230DB2">
        <w:rPr>
          <w:rFonts w:ascii="Arial,Bold" w:hAnsi="Arial,Bold" w:cs="Arial,Bold"/>
          <w:b/>
          <w:bCs/>
        </w:rPr>
        <w:t>A n t e c e d e n t e s</w:t>
      </w:r>
    </w:p>
    <w:p w:rsidR="004A27DE" w:rsidRPr="00230DB2" w:rsidRDefault="004A27DE" w:rsidP="004A27DE">
      <w:pPr>
        <w:autoSpaceDE w:val="0"/>
        <w:autoSpaceDN w:val="0"/>
        <w:adjustRightInd w:val="0"/>
        <w:spacing w:line="260" w:lineRule="exact"/>
        <w:rPr>
          <w:rFonts w:ascii="Arial,Bold" w:hAnsi="Arial,Bold" w:cs="Arial,Bold"/>
          <w:b/>
          <w:bCs/>
        </w:rPr>
      </w:pPr>
    </w:p>
    <w:p w:rsidR="004A27DE" w:rsidRPr="00230DB2" w:rsidRDefault="004A27DE" w:rsidP="004A27DE">
      <w:pPr>
        <w:autoSpaceDE w:val="0"/>
        <w:autoSpaceDN w:val="0"/>
        <w:adjustRightInd w:val="0"/>
        <w:jc w:val="both"/>
        <w:rPr>
          <w:rFonts w:ascii="Arial" w:hAnsi="Arial" w:cs="Arial"/>
        </w:rPr>
      </w:pPr>
    </w:p>
    <w:p w:rsidR="004A27DE" w:rsidRPr="00230DB2" w:rsidRDefault="004A27DE" w:rsidP="004A27DE">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230DB2">
        <w:rPr>
          <w:rFonts w:ascii="Arial" w:hAnsi="Arial" w:cs="Arial"/>
          <w:b/>
          <w:sz w:val="24"/>
          <w:szCs w:val="24"/>
        </w:rPr>
        <w:t>Inicio del Proceso Electoral Federal 2017-2018.</w:t>
      </w:r>
      <w:r w:rsidRPr="00230DB2">
        <w:rPr>
          <w:rFonts w:ascii="Arial" w:hAnsi="Arial" w:cs="Arial"/>
          <w:sz w:val="24"/>
          <w:szCs w:val="24"/>
        </w:rPr>
        <w:t xml:space="preserve"> Mediante sesión extraordinaria del Consejo General del Instituto Nacional Electoral, celebrada el ocho de septiembre de dos mil diecisiete, dio inicio formalmente el Proceso Electoral Federal 2017-2018.</w:t>
      </w:r>
    </w:p>
    <w:p w:rsidR="004A27DE" w:rsidRPr="00230DB2" w:rsidRDefault="004A27DE" w:rsidP="004A27DE">
      <w:pPr>
        <w:pStyle w:val="Prrafodelista"/>
        <w:autoSpaceDE w:val="0"/>
        <w:autoSpaceDN w:val="0"/>
        <w:adjustRightInd w:val="0"/>
        <w:spacing w:after="0" w:line="240" w:lineRule="auto"/>
        <w:ind w:left="567"/>
        <w:jc w:val="both"/>
        <w:rPr>
          <w:rFonts w:ascii="Arial" w:hAnsi="Arial" w:cs="Arial"/>
          <w:sz w:val="24"/>
          <w:szCs w:val="24"/>
        </w:rPr>
      </w:pPr>
    </w:p>
    <w:p w:rsidR="004A27DE" w:rsidRPr="00230DB2" w:rsidRDefault="004A27DE" w:rsidP="004A27D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30DB2">
        <w:rPr>
          <w:rFonts w:ascii="Arial" w:hAnsi="Arial" w:cs="Arial"/>
          <w:b/>
          <w:sz w:val="24"/>
          <w:szCs w:val="24"/>
        </w:rPr>
        <w:t>Aprobación del inicio y conclusión de la precampaña federal.</w:t>
      </w:r>
      <w:r w:rsidRPr="00230DB2">
        <w:rPr>
          <w:rFonts w:ascii="Arial" w:hAnsi="Arial" w:cs="Arial"/>
          <w:sz w:val="24"/>
          <w:szCs w:val="24"/>
        </w:rPr>
        <w:t xml:space="preserve"> En sesión extraordinaria, celebrada el ocho de septiembre de dos mil diecisiete, el Consejo General del Instituto Nacional Electoral aprobó el </w:t>
      </w:r>
      <w:r w:rsidRPr="00230DB2">
        <w:rPr>
          <w:rFonts w:ascii="Arial" w:hAnsi="Arial" w:cs="Arial"/>
          <w:i/>
          <w:iCs/>
          <w:sz w:val="24"/>
          <w:szCs w:val="24"/>
        </w:rPr>
        <w:t xml:space="preserve">“Acuerdo […] por el </w:t>
      </w:r>
      <w:r w:rsidRPr="00230DB2">
        <w:rPr>
          <w:rFonts w:ascii="Arial" w:hAnsi="Arial" w:cs="Arial"/>
          <w:sz w:val="24"/>
          <w:szCs w:val="24"/>
        </w:rPr>
        <w:t>que se establece el periodo de precampañas para el Proceso Electoral Federal 2017-2018, así como diversos criterios y plazos de procedimientos relacionados con las mismas</w:t>
      </w:r>
      <w:r w:rsidRPr="00230DB2">
        <w:rPr>
          <w:rFonts w:ascii="Arial" w:hAnsi="Arial" w:cs="Arial"/>
          <w:i/>
          <w:iCs/>
          <w:sz w:val="24"/>
          <w:szCs w:val="24"/>
        </w:rPr>
        <w:t>”</w:t>
      </w:r>
      <w:r w:rsidRPr="00230DB2">
        <w:rPr>
          <w:rFonts w:ascii="Arial" w:hAnsi="Arial" w:cs="Arial"/>
          <w:sz w:val="24"/>
          <w:szCs w:val="24"/>
        </w:rPr>
        <w:t>, identificado con la clave INE/CG427/2017, en cuyo punto de acuerdo SÉPTIMO, establece lo siguiente:</w:t>
      </w:r>
    </w:p>
    <w:p w:rsidR="004A27DE" w:rsidRPr="00230DB2" w:rsidRDefault="004A27DE" w:rsidP="004A27DE">
      <w:pPr>
        <w:pStyle w:val="Prrafodelista"/>
        <w:autoSpaceDE w:val="0"/>
        <w:autoSpaceDN w:val="0"/>
        <w:adjustRightInd w:val="0"/>
        <w:spacing w:after="0" w:line="240" w:lineRule="auto"/>
        <w:ind w:left="567"/>
        <w:jc w:val="both"/>
        <w:rPr>
          <w:rFonts w:ascii="Arial" w:hAnsi="Arial" w:cs="Arial"/>
          <w:b/>
          <w:bCs/>
          <w:i/>
          <w:iCs/>
        </w:rPr>
      </w:pPr>
    </w:p>
    <w:p w:rsidR="004A27DE" w:rsidRPr="00230DB2" w:rsidRDefault="004A27DE" w:rsidP="0089119A">
      <w:pPr>
        <w:pStyle w:val="Prrafodelista"/>
        <w:autoSpaceDE w:val="0"/>
        <w:autoSpaceDN w:val="0"/>
        <w:adjustRightInd w:val="0"/>
        <w:spacing w:after="0" w:line="240" w:lineRule="auto"/>
        <w:ind w:left="1134" w:right="615"/>
        <w:jc w:val="both"/>
        <w:rPr>
          <w:rFonts w:ascii="Arial" w:hAnsi="Arial" w:cs="Arial"/>
          <w:bCs/>
          <w:i/>
          <w:iCs/>
        </w:rPr>
      </w:pPr>
      <w:r w:rsidRPr="00230DB2">
        <w:rPr>
          <w:rFonts w:ascii="Arial" w:hAnsi="Arial" w:cs="Arial"/>
          <w:bCs/>
          <w:i/>
          <w:iCs/>
        </w:rPr>
        <w:t>“(…)</w:t>
      </w:r>
    </w:p>
    <w:p w:rsidR="004A27DE" w:rsidRPr="00230DB2" w:rsidRDefault="004A27DE" w:rsidP="0089119A">
      <w:pPr>
        <w:autoSpaceDE w:val="0"/>
        <w:autoSpaceDN w:val="0"/>
        <w:adjustRightInd w:val="0"/>
        <w:ind w:left="1134" w:right="615"/>
        <w:jc w:val="both"/>
        <w:rPr>
          <w:rFonts w:ascii="Arial" w:hAnsi="Arial" w:cs="Arial"/>
          <w:bCs/>
          <w:i/>
          <w:iCs/>
        </w:rPr>
      </w:pPr>
    </w:p>
    <w:p w:rsidR="004A27DE" w:rsidRPr="00230DB2" w:rsidRDefault="004A27DE" w:rsidP="0089119A">
      <w:pPr>
        <w:pStyle w:val="Prrafodelista"/>
        <w:autoSpaceDE w:val="0"/>
        <w:autoSpaceDN w:val="0"/>
        <w:adjustRightInd w:val="0"/>
        <w:spacing w:after="0" w:line="240" w:lineRule="auto"/>
        <w:ind w:left="1134" w:right="615"/>
        <w:jc w:val="both"/>
        <w:rPr>
          <w:rFonts w:ascii="Arial" w:hAnsi="Arial" w:cs="Arial"/>
          <w:i/>
          <w:iCs/>
        </w:rPr>
      </w:pPr>
      <w:r w:rsidRPr="00230DB2">
        <w:rPr>
          <w:rFonts w:ascii="Arial" w:hAnsi="Arial" w:cs="Arial"/>
          <w:b/>
          <w:bCs/>
          <w:i/>
          <w:iCs/>
        </w:rPr>
        <w:t xml:space="preserve">SÉPTIMO. </w:t>
      </w:r>
      <w:r w:rsidRPr="00230DB2">
        <w:rPr>
          <w:rFonts w:ascii="Arial" w:hAnsi="Arial" w:cs="Arial"/>
          <w:i/>
          <w:iCs/>
        </w:rPr>
        <w:t>Las precampañas electorales darán inicio el día 14 de diciembre de 2017 y concluirán a más tardar el día 11 de febrero de 2018.</w:t>
      </w:r>
    </w:p>
    <w:p w:rsidR="004A27DE" w:rsidRPr="00230DB2" w:rsidRDefault="004A27DE" w:rsidP="0089119A">
      <w:pPr>
        <w:pStyle w:val="Prrafodelista"/>
        <w:autoSpaceDE w:val="0"/>
        <w:autoSpaceDN w:val="0"/>
        <w:adjustRightInd w:val="0"/>
        <w:spacing w:after="0" w:line="240" w:lineRule="auto"/>
        <w:ind w:left="1134" w:right="615"/>
        <w:jc w:val="both"/>
        <w:rPr>
          <w:rFonts w:ascii="Arial" w:hAnsi="Arial" w:cs="Arial"/>
          <w:i/>
          <w:iCs/>
        </w:rPr>
      </w:pPr>
    </w:p>
    <w:p w:rsidR="004A27DE" w:rsidRPr="00230DB2" w:rsidRDefault="004A27DE" w:rsidP="0089119A">
      <w:pPr>
        <w:autoSpaceDE w:val="0"/>
        <w:autoSpaceDN w:val="0"/>
        <w:adjustRightInd w:val="0"/>
        <w:ind w:left="1134" w:right="615"/>
        <w:jc w:val="both"/>
        <w:rPr>
          <w:rFonts w:ascii="Arial" w:hAnsi="Arial" w:cs="Arial"/>
        </w:rPr>
      </w:pPr>
      <w:r w:rsidRPr="00230DB2">
        <w:rPr>
          <w:rFonts w:ascii="Arial" w:hAnsi="Arial" w:cs="Arial"/>
        </w:rPr>
        <w:t>(…)”</w:t>
      </w:r>
    </w:p>
    <w:p w:rsidR="004A27DE" w:rsidRPr="00230DB2" w:rsidRDefault="004A27DE" w:rsidP="004A27DE">
      <w:pPr>
        <w:autoSpaceDE w:val="0"/>
        <w:autoSpaceDN w:val="0"/>
        <w:adjustRightInd w:val="0"/>
        <w:ind w:left="567" w:right="474"/>
        <w:jc w:val="both"/>
        <w:rPr>
          <w:rFonts w:ascii="Arial" w:hAnsi="Arial" w:cs="Arial"/>
        </w:rPr>
      </w:pPr>
    </w:p>
    <w:p w:rsidR="004A27DE" w:rsidRPr="00230DB2" w:rsidRDefault="004A27DE" w:rsidP="004A27D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30DB2">
        <w:rPr>
          <w:rFonts w:ascii="Arial" w:hAnsi="Arial" w:cs="Arial"/>
          <w:b/>
          <w:sz w:val="24"/>
          <w:szCs w:val="24"/>
        </w:rPr>
        <w:t>Términos y condiciones de la entrega de materiales y elaboración de órdenes de transmisión, 2018</w:t>
      </w:r>
      <w:r w:rsidRPr="00230DB2">
        <w:rPr>
          <w:rFonts w:ascii="Arial" w:hAnsi="Arial" w:cs="Arial"/>
          <w:sz w:val="24"/>
          <w:szCs w:val="24"/>
        </w:rPr>
        <w:t xml:space="preserve">. El doce de octubre de dos mil diecisiete en la Novena Sesión Ordinaria del Comité de Radio y Televisión, se aprobó el </w:t>
      </w:r>
      <w:r w:rsidRPr="00230DB2">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230DB2">
        <w:rPr>
          <w:rFonts w:ascii="Arial" w:hAnsi="Arial" w:cs="Arial"/>
          <w:sz w:val="24"/>
          <w:szCs w:val="24"/>
        </w:rPr>
        <w:t>, identificado como INE/ACRT/22/2017.</w:t>
      </w:r>
    </w:p>
    <w:p w:rsidR="004A27DE" w:rsidRPr="00230DB2" w:rsidRDefault="004A27DE" w:rsidP="004A27DE">
      <w:pPr>
        <w:pStyle w:val="Prrafodelista"/>
        <w:autoSpaceDE w:val="0"/>
        <w:autoSpaceDN w:val="0"/>
        <w:adjustRightInd w:val="0"/>
        <w:spacing w:after="0" w:line="240" w:lineRule="auto"/>
        <w:ind w:left="567"/>
        <w:jc w:val="both"/>
        <w:rPr>
          <w:rFonts w:ascii="Arial" w:hAnsi="Arial" w:cs="Arial"/>
          <w:sz w:val="24"/>
          <w:szCs w:val="24"/>
        </w:rPr>
      </w:pPr>
    </w:p>
    <w:p w:rsidR="004A27DE" w:rsidRPr="00230DB2" w:rsidRDefault="004A27DE" w:rsidP="004A27D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30DB2">
        <w:rPr>
          <w:rFonts w:ascii="Arial" w:hAnsi="Arial" w:cs="Arial"/>
          <w:b/>
          <w:sz w:val="24"/>
          <w:szCs w:val="24"/>
        </w:rPr>
        <w:t>Sorteo para determinar orden de asignación.</w:t>
      </w:r>
      <w:r w:rsidRPr="00230DB2">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230DB2">
        <w:rPr>
          <w:rFonts w:ascii="Arial" w:hAnsi="Arial" w:cs="Arial"/>
          <w:sz w:val="24"/>
          <w:szCs w:val="24"/>
        </w:rPr>
        <w:lastRenderedPageBreak/>
        <w:t xml:space="preserve">con vigencia del catorce de diciembre de dos mil diecisiete al veintisiete de junio de dos mil dieciocho. </w:t>
      </w:r>
    </w:p>
    <w:p w:rsidR="004A27DE" w:rsidRPr="00230DB2" w:rsidRDefault="004A27DE" w:rsidP="004A27DE">
      <w:pPr>
        <w:pStyle w:val="Prrafodelista"/>
        <w:autoSpaceDE w:val="0"/>
        <w:autoSpaceDN w:val="0"/>
        <w:adjustRightInd w:val="0"/>
        <w:spacing w:after="0" w:line="240" w:lineRule="auto"/>
        <w:ind w:left="567"/>
        <w:jc w:val="both"/>
        <w:rPr>
          <w:rFonts w:ascii="Arial" w:hAnsi="Arial" w:cs="Arial"/>
          <w:sz w:val="24"/>
          <w:szCs w:val="24"/>
        </w:rPr>
      </w:pPr>
    </w:p>
    <w:p w:rsidR="004A27DE" w:rsidRPr="00230DB2" w:rsidRDefault="004A27DE" w:rsidP="004A27D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30DB2">
        <w:rPr>
          <w:rFonts w:ascii="Arial" w:hAnsi="Arial" w:cs="Arial"/>
          <w:b/>
          <w:sz w:val="24"/>
          <w:szCs w:val="24"/>
        </w:rPr>
        <w:t>Sorteo para determinar horarios para partidos y autoridades.</w:t>
      </w:r>
      <w:r w:rsidRPr="00230DB2">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4A27DE" w:rsidRPr="00230DB2" w:rsidRDefault="004A27DE" w:rsidP="004A27DE">
      <w:pPr>
        <w:autoSpaceDE w:val="0"/>
        <w:autoSpaceDN w:val="0"/>
        <w:adjustRightInd w:val="0"/>
        <w:jc w:val="both"/>
        <w:rPr>
          <w:rFonts w:ascii="Arial" w:hAnsi="Arial" w:cs="Arial"/>
        </w:rPr>
      </w:pPr>
    </w:p>
    <w:p w:rsidR="004A27DE" w:rsidRPr="00230DB2" w:rsidRDefault="004A27DE" w:rsidP="004A27D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30DB2">
        <w:rPr>
          <w:rFonts w:ascii="Arial" w:hAnsi="Arial" w:cs="Arial"/>
          <w:b/>
          <w:sz w:val="24"/>
          <w:szCs w:val="24"/>
        </w:rPr>
        <w:t>Aprobación de pautas de autoridades electorales del Proceso Electoral Federal 2017-2018 y locales coincidentes</w:t>
      </w:r>
      <w:r w:rsidRPr="00230DB2">
        <w:rPr>
          <w:rFonts w:ascii="Arial" w:hAnsi="Arial" w:cs="Arial"/>
          <w:sz w:val="24"/>
          <w:szCs w:val="24"/>
        </w:rPr>
        <w:t xml:space="preserve">. El dieciocho de octubre de dos mil diecisiete, en sesión extraordinaria de la Junta General Ejecutiva del Instituto Nacional Electoral, se aprobó el </w:t>
      </w:r>
      <w:r w:rsidRPr="00230DB2">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230DB2">
        <w:rPr>
          <w:rFonts w:ascii="Arial" w:hAnsi="Arial" w:cs="Arial"/>
          <w:sz w:val="24"/>
          <w:szCs w:val="24"/>
        </w:rPr>
        <w:t>, identificado como INE/JGE177/2017.</w:t>
      </w:r>
    </w:p>
    <w:p w:rsidR="004A27DE" w:rsidRPr="00230DB2" w:rsidRDefault="004A27DE" w:rsidP="004A27DE">
      <w:pPr>
        <w:autoSpaceDE w:val="0"/>
        <w:autoSpaceDN w:val="0"/>
        <w:adjustRightInd w:val="0"/>
        <w:jc w:val="both"/>
        <w:rPr>
          <w:rFonts w:ascii="Arial" w:hAnsi="Arial" w:cs="Arial"/>
        </w:rPr>
      </w:pPr>
    </w:p>
    <w:p w:rsidR="004A27DE" w:rsidRPr="00230DB2" w:rsidRDefault="004A27DE" w:rsidP="004A27D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30DB2">
        <w:rPr>
          <w:rFonts w:ascii="Arial" w:hAnsi="Arial" w:cs="Arial"/>
          <w:b/>
          <w:sz w:val="24"/>
          <w:szCs w:val="24"/>
        </w:rPr>
        <w:t>Catálogo Nacional de Emisoras.</w:t>
      </w:r>
      <w:r w:rsidRPr="00230DB2">
        <w:rPr>
          <w:rFonts w:ascii="Arial" w:hAnsi="Arial" w:cs="Arial"/>
          <w:sz w:val="24"/>
          <w:szCs w:val="24"/>
        </w:rPr>
        <w:t xml:space="preserve"> El veintiséis de octubre de dos mil diecisiete en la Décima Sesión Ordinaria del Comité de Radio y Televisión del Instituto Nacional Electoral, se aprobó el </w:t>
      </w:r>
      <w:r w:rsidRPr="00230DB2">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230DB2">
        <w:rPr>
          <w:rFonts w:ascii="Arial" w:hAnsi="Arial" w:cs="Arial"/>
          <w:sz w:val="24"/>
          <w:szCs w:val="24"/>
        </w:rPr>
        <w:t>identificado como INE/ACRT23/2017.</w:t>
      </w:r>
    </w:p>
    <w:p w:rsidR="004A27DE" w:rsidRPr="00230DB2" w:rsidRDefault="004A27DE" w:rsidP="004A27DE">
      <w:pPr>
        <w:autoSpaceDE w:val="0"/>
        <w:autoSpaceDN w:val="0"/>
        <w:adjustRightInd w:val="0"/>
        <w:jc w:val="both"/>
        <w:rPr>
          <w:rFonts w:ascii="Arial" w:hAnsi="Arial" w:cs="Arial"/>
        </w:rPr>
      </w:pPr>
    </w:p>
    <w:p w:rsidR="004A27DE" w:rsidRPr="00230DB2" w:rsidRDefault="004A27DE" w:rsidP="004A27D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30DB2">
        <w:rPr>
          <w:rFonts w:ascii="Arial" w:hAnsi="Arial" w:cs="Arial"/>
          <w:b/>
          <w:sz w:val="24"/>
          <w:szCs w:val="24"/>
        </w:rPr>
        <w:t>Aprobación de pautas de partidos políticos del Proceso Electoral Federal 2017-2018</w:t>
      </w:r>
      <w:r w:rsidRPr="00230DB2">
        <w:rPr>
          <w:rFonts w:ascii="Arial" w:hAnsi="Arial" w:cs="Arial"/>
          <w:sz w:val="24"/>
          <w:szCs w:val="24"/>
        </w:rPr>
        <w:t xml:space="preserve">. El veintiséis de octubre de dos mil diecisiete, en la Décima Sesión Ordinaria del Comité de Radio y Televisión del Instituto Nacional Electoral, se aprobó el </w:t>
      </w:r>
      <w:r w:rsidRPr="00230DB2">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230DB2">
        <w:rPr>
          <w:rFonts w:ascii="Arial" w:hAnsi="Arial" w:cs="Arial"/>
          <w:sz w:val="24"/>
          <w:szCs w:val="24"/>
        </w:rPr>
        <w:t>, identificado como INE/ACRT24/2017.</w:t>
      </w:r>
    </w:p>
    <w:p w:rsidR="004A27DE" w:rsidRPr="00230DB2" w:rsidRDefault="004A27DE" w:rsidP="004A27DE">
      <w:pPr>
        <w:autoSpaceDE w:val="0"/>
        <w:autoSpaceDN w:val="0"/>
        <w:adjustRightInd w:val="0"/>
        <w:jc w:val="both"/>
        <w:rPr>
          <w:rFonts w:ascii="Arial" w:hAnsi="Arial" w:cs="Arial"/>
        </w:rPr>
      </w:pPr>
    </w:p>
    <w:p w:rsidR="004A27DE" w:rsidRPr="00230DB2" w:rsidRDefault="004A27DE" w:rsidP="004A27DE">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30DB2">
        <w:rPr>
          <w:rFonts w:ascii="Arial" w:hAnsi="Arial" w:cs="Arial"/>
          <w:b/>
          <w:sz w:val="24"/>
          <w:szCs w:val="24"/>
        </w:rPr>
        <w:t xml:space="preserve">Aprobación de propuesta de pautado por parte del OPLE. </w:t>
      </w:r>
      <w:r w:rsidRPr="00230DB2">
        <w:rPr>
          <w:rFonts w:ascii="Arial" w:hAnsi="Arial" w:cs="Arial"/>
          <w:sz w:val="24"/>
          <w:szCs w:val="24"/>
        </w:rPr>
        <w:t xml:space="preserve">El siete de noviembre de dos mil diecisiete en la sesión extraordinaria número veinte, el Consejo General del Instituto Electoral de Tamaulipas aprobó el </w:t>
      </w:r>
      <w:r w:rsidRPr="00230DB2">
        <w:rPr>
          <w:rFonts w:ascii="Arial" w:hAnsi="Arial" w:cs="Arial"/>
          <w:i/>
          <w:sz w:val="24"/>
          <w:szCs w:val="24"/>
        </w:rPr>
        <w:t xml:space="preserve">“Acuerdo […] mediante el cual se </w:t>
      </w:r>
      <w:r w:rsidRPr="00230DB2">
        <w:rPr>
          <w:rFonts w:ascii="Arial" w:hAnsi="Arial" w:cs="Arial"/>
          <w:i/>
          <w:sz w:val="24"/>
          <w:szCs w:val="24"/>
        </w:rPr>
        <w:lastRenderedPageBreak/>
        <w:t xml:space="preserve">aprueba la propuesta del modelo de distribución y las pautas para la transmisión en radio y televisión de los mensajes de los partidos políticos, y, en su caso, candidatos independientes, así como el periodo único y conjunto de acceso a medios en los periodos de precampaña, </w:t>
      </w:r>
      <w:proofErr w:type="spellStart"/>
      <w:r w:rsidRPr="00230DB2">
        <w:rPr>
          <w:rFonts w:ascii="Arial" w:hAnsi="Arial" w:cs="Arial"/>
          <w:i/>
          <w:sz w:val="24"/>
          <w:szCs w:val="24"/>
        </w:rPr>
        <w:t>intercampaña</w:t>
      </w:r>
      <w:proofErr w:type="spellEnd"/>
      <w:r w:rsidRPr="00230DB2">
        <w:rPr>
          <w:rFonts w:ascii="Arial" w:hAnsi="Arial" w:cs="Arial"/>
          <w:i/>
          <w:sz w:val="24"/>
          <w:szCs w:val="24"/>
        </w:rPr>
        <w:t xml:space="preserve"> y campaña electoral, correspondientes al Proceso Electoral Ordinario 2017-2018 en el estado de Tamaulipas”</w:t>
      </w:r>
      <w:r w:rsidRPr="00230DB2">
        <w:rPr>
          <w:rFonts w:ascii="Arial" w:hAnsi="Arial" w:cs="Arial"/>
          <w:sz w:val="24"/>
          <w:szCs w:val="24"/>
        </w:rPr>
        <w:t xml:space="preserve">, identificado como IETAM/CG-36/2017. </w:t>
      </w:r>
    </w:p>
    <w:p w:rsidR="004A27DE" w:rsidRPr="00230DB2" w:rsidRDefault="004A27DE" w:rsidP="004A27DE">
      <w:pPr>
        <w:autoSpaceDE w:val="0"/>
        <w:autoSpaceDN w:val="0"/>
        <w:adjustRightInd w:val="0"/>
        <w:jc w:val="both"/>
        <w:rPr>
          <w:rFonts w:ascii="Arial" w:hAnsi="Arial" w:cs="Arial"/>
        </w:rPr>
      </w:pPr>
    </w:p>
    <w:p w:rsidR="004A27DE" w:rsidRPr="00230DB2" w:rsidRDefault="004A27DE" w:rsidP="004A27DE">
      <w:pPr>
        <w:autoSpaceDE w:val="0"/>
        <w:autoSpaceDN w:val="0"/>
        <w:adjustRightInd w:val="0"/>
        <w:ind w:left="-153"/>
        <w:jc w:val="both"/>
        <w:rPr>
          <w:rFonts w:ascii="Arial" w:hAnsi="Arial" w:cs="Arial"/>
        </w:rPr>
      </w:pPr>
    </w:p>
    <w:p w:rsidR="004A27DE" w:rsidRPr="00230DB2" w:rsidRDefault="004A27DE" w:rsidP="004A27DE">
      <w:pPr>
        <w:autoSpaceDE w:val="0"/>
        <w:autoSpaceDN w:val="0"/>
        <w:adjustRightInd w:val="0"/>
        <w:spacing w:line="260" w:lineRule="exact"/>
        <w:jc w:val="both"/>
        <w:rPr>
          <w:rFonts w:ascii="Arial" w:hAnsi="Arial" w:cs="Arial"/>
          <w:spacing w:val="20"/>
        </w:rPr>
      </w:pPr>
    </w:p>
    <w:p w:rsidR="004A27DE" w:rsidRPr="00230DB2" w:rsidRDefault="004A27DE" w:rsidP="004A27DE">
      <w:pPr>
        <w:tabs>
          <w:tab w:val="left" w:pos="1134"/>
        </w:tabs>
        <w:autoSpaceDE w:val="0"/>
        <w:autoSpaceDN w:val="0"/>
        <w:adjustRightInd w:val="0"/>
        <w:spacing w:line="260" w:lineRule="exact"/>
        <w:ind w:right="474"/>
        <w:jc w:val="center"/>
        <w:rPr>
          <w:rFonts w:ascii="Arial" w:hAnsi="Arial" w:cs="Arial"/>
          <w:b/>
        </w:rPr>
      </w:pPr>
      <w:r w:rsidRPr="00230DB2">
        <w:rPr>
          <w:rFonts w:ascii="Arial" w:hAnsi="Arial" w:cs="Arial"/>
          <w:b/>
        </w:rPr>
        <w:t>C o n s i d e r a c i o n e s</w:t>
      </w:r>
    </w:p>
    <w:p w:rsidR="004A27DE" w:rsidRPr="00230DB2" w:rsidRDefault="004A27DE" w:rsidP="004A27DE">
      <w:pPr>
        <w:tabs>
          <w:tab w:val="left" w:pos="1134"/>
        </w:tabs>
        <w:autoSpaceDE w:val="0"/>
        <w:autoSpaceDN w:val="0"/>
        <w:adjustRightInd w:val="0"/>
        <w:spacing w:line="260" w:lineRule="exact"/>
        <w:ind w:right="474"/>
        <w:jc w:val="center"/>
        <w:rPr>
          <w:rFonts w:ascii="Arial" w:hAnsi="Arial" w:cs="Arial"/>
          <w:b/>
        </w:rPr>
      </w:pPr>
    </w:p>
    <w:p w:rsidR="004A27DE" w:rsidRPr="00230DB2" w:rsidRDefault="004A27DE" w:rsidP="004A27DE">
      <w:pPr>
        <w:tabs>
          <w:tab w:val="left" w:pos="1134"/>
        </w:tabs>
        <w:autoSpaceDE w:val="0"/>
        <w:autoSpaceDN w:val="0"/>
        <w:adjustRightInd w:val="0"/>
        <w:spacing w:line="260" w:lineRule="exact"/>
        <w:ind w:right="474"/>
        <w:jc w:val="both"/>
        <w:rPr>
          <w:rFonts w:ascii="Arial" w:hAnsi="Arial" w:cs="Arial"/>
          <w:b/>
        </w:rPr>
      </w:pPr>
      <w:r w:rsidRPr="00230DB2">
        <w:rPr>
          <w:rFonts w:ascii="Arial" w:hAnsi="Arial" w:cs="Arial"/>
          <w:b/>
        </w:rPr>
        <w:t>Competencia en materia de administración de tiempos de radio y televisión</w:t>
      </w:r>
    </w:p>
    <w:p w:rsidR="004A27DE" w:rsidRPr="00230DB2" w:rsidRDefault="004A27DE" w:rsidP="004A27DE">
      <w:pPr>
        <w:tabs>
          <w:tab w:val="left" w:pos="1134"/>
        </w:tabs>
        <w:autoSpaceDE w:val="0"/>
        <w:autoSpaceDN w:val="0"/>
        <w:adjustRightInd w:val="0"/>
        <w:spacing w:line="260" w:lineRule="exact"/>
        <w:ind w:right="474"/>
        <w:jc w:val="both"/>
        <w:rPr>
          <w:rFonts w:ascii="Arial" w:hAnsi="Arial" w:cs="Arial"/>
        </w:rPr>
      </w:pPr>
    </w:p>
    <w:p w:rsidR="004A27DE" w:rsidRPr="00230DB2" w:rsidRDefault="004A27DE" w:rsidP="004A27DE">
      <w:pPr>
        <w:numPr>
          <w:ilvl w:val="0"/>
          <w:numId w:val="2"/>
        </w:numPr>
        <w:spacing w:line="260" w:lineRule="exact"/>
        <w:ind w:left="567" w:hanging="567"/>
        <w:jc w:val="both"/>
        <w:rPr>
          <w:rFonts w:ascii="Arial" w:hAnsi="Arial" w:cs="Arial"/>
          <w:color w:val="000000"/>
          <w:spacing w:val="-2"/>
        </w:rPr>
      </w:pPr>
      <w:r w:rsidRPr="00230DB2">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4A27DE" w:rsidRPr="00230DB2" w:rsidRDefault="004A27DE" w:rsidP="004A27DE">
      <w:pPr>
        <w:spacing w:line="160" w:lineRule="exact"/>
        <w:ind w:left="567"/>
        <w:jc w:val="both"/>
        <w:rPr>
          <w:rFonts w:ascii="Arial" w:hAnsi="Arial" w:cs="Arial"/>
          <w:color w:val="000000"/>
          <w:spacing w:val="-2"/>
        </w:rPr>
      </w:pPr>
    </w:p>
    <w:p w:rsidR="004A27DE" w:rsidRPr="00230DB2" w:rsidRDefault="004A27DE" w:rsidP="004A27DE">
      <w:pPr>
        <w:numPr>
          <w:ilvl w:val="0"/>
          <w:numId w:val="2"/>
        </w:numPr>
        <w:spacing w:line="260" w:lineRule="exact"/>
        <w:ind w:left="567" w:hanging="567"/>
        <w:jc w:val="both"/>
        <w:rPr>
          <w:rFonts w:ascii="Arial" w:hAnsi="Arial" w:cs="Arial"/>
          <w:color w:val="000000"/>
          <w:spacing w:val="-4"/>
        </w:rPr>
      </w:pPr>
      <w:r w:rsidRPr="00230DB2">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4A27DE" w:rsidRPr="00230DB2" w:rsidRDefault="004A27DE" w:rsidP="004A27DE">
      <w:pPr>
        <w:spacing w:line="160" w:lineRule="exact"/>
        <w:ind w:left="567"/>
        <w:jc w:val="both"/>
        <w:rPr>
          <w:rFonts w:ascii="Arial" w:hAnsi="Arial" w:cs="Arial"/>
          <w:color w:val="000000"/>
        </w:rPr>
      </w:pPr>
    </w:p>
    <w:p w:rsidR="004A27DE" w:rsidRPr="00230DB2" w:rsidRDefault="004A27DE" w:rsidP="004A27DE">
      <w:pPr>
        <w:numPr>
          <w:ilvl w:val="0"/>
          <w:numId w:val="2"/>
        </w:numPr>
        <w:spacing w:line="260" w:lineRule="exact"/>
        <w:ind w:left="567" w:hanging="567"/>
        <w:jc w:val="both"/>
        <w:rPr>
          <w:rFonts w:ascii="Arial" w:hAnsi="Arial" w:cs="Arial"/>
          <w:color w:val="000000"/>
        </w:rPr>
      </w:pPr>
      <w:r w:rsidRPr="00230DB2">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4A27DE" w:rsidRPr="00230DB2" w:rsidRDefault="004A27DE" w:rsidP="004A27DE">
      <w:pPr>
        <w:spacing w:line="260" w:lineRule="exact"/>
        <w:ind w:left="567"/>
        <w:jc w:val="both"/>
        <w:rPr>
          <w:rFonts w:ascii="Arial" w:hAnsi="Arial" w:cs="Arial"/>
          <w:color w:val="000000"/>
        </w:rPr>
      </w:pPr>
    </w:p>
    <w:p w:rsidR="004A27DE" w:rsidRPr="00230DB2" w:rsidRDefault="004A27DE" w:rsidP="004A27DE">
      <w:pPr>
        <w:numPr>
          <w:ilvl w:val="0"/>
          <w:numId w:val="2"/>
        </w:numPr>
        <w:ind w:left="567" w:hanging="567"/>
        <w:jc w:val="both"/>
        <w:rPr>
          <w:rFonts w:ascii="Arial" w:hAnsi="Arial" w:cs="Arial"/>
          <w:color w:val="000000"/>
        </w:rPr>
      </w:pPr>
      <w:r w:rsidRPr="00230DB2">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4A27DE" w:rsidRPr="00230DB2" w:rsidRDefault="004A27DE" w:rsidP="004A27DE">
      <w:pPr>
        <w:jc w:val="both"/>
        <w:rPr>
          <w:rFonts w:ascii="Arial" w:hAnsi="Arial" w:cs="Arial"/>
          <w:color w:val="000000"/>
        </w:rPr>
      </w:pPr>
    </w:p>
    <w:p w:rsidR="004A27DE" w:rsidRPr="00230DB2" w:rsidRDefault="004A27DE" w:rsidP="004A27DE">
      <w:pPr>
        <w:jc w:val="both"/>
        <w:rPr>
          <w:rFonts w:ascii="Arial" w:hAnsi="Arial" w:cs="Arial"/>
          <w:color w:val="000000"/>
        </w:rPr>
      </w:pPr>
    </w:p>
    <w:p w:rsidR="004A27DE" w:rsidRPr="00230DB2" w:rsidRDefault="004A27DE" w:rsidP="004A27DE">
      <w:pPr>
        <w:jc w:val="both"/>
        <w:rPr>
          <w:rFonts w:ascii="Arial" w:hAnsi="Arial" w:cs="Arial"/>
          <w:color w:val="000000"/>
        </w:rPr>
      </w:pPr>
    </w:p>
    <w:p w:rsidR="004A27DE" w:rsidRPr="00230DB2" w:rsidRDefault="004A27DE" w:rsidP="004A27DE">
      <w:pPr>
        <w:jc w:val="both"/>
        <w:rPr>
          <w:rFonts w:ascii="Arial" w:hAnsi="Arial" w:cs="Arial"/>
          <w:b/>
          <w:bCs/>
          <w:color w:val="000000"/>
        </w:rPr>
      </w:pPr>
      <w:r w:rsidRPr="00230DB2">
        <w:rPr>
          <w:rFonts w:ascii="Arial" w:hAnsi="Arial" w:cs="Arial"/>
          <w:b/>
          <w:bCs/>
          <w:color w:val="000000"/>
        </w:rPr>
        <w:t xml:space="preserve">Competencia específica </w:t>
      </w:r>
      <w:r w:rsidRPr="00230DB2">
        <w:rPr>
          <w:rFonts w:ascii="Arial" w:hAnsi="Arial" w:cs="Arial"/>
          <w:b/>
          <w:color w:val="000000"/>
        </w:rPr>
        <w:t>del Comité de Radio y Televisión</w:t>
      </w:r>
    </w:p>
    <w:p w:rsidR="004A27DE" w:rsidRPr="00230DB2" w:rsidRDefault="004A27DE" w:rsidP="004A27DE">
      <w:pPr>
        <w:jc w:val="both"/>
        <w:rPr>
          <w:rFonts w:ascii="Arial" w:hAnsi="Arial" w:cs="Arial"/>
          <w:b/>
          <w:bCs/>
          <w:color w:val="000000"/>
        </w:rPr>
      </w:pPr>
    </w:p>
    <w:p w:rsidR="004A27DE" w:rsidRPr="00230DB2" w:rsidRDefault="004A27DE" w:rsidP="004A27DE">
      <w:pPr>
        <w:numPr>
          <w:ilvl w:val="0"/>
          <w:numId w:val="2"/>
        </w:numPr>
        <w:ind w:left="567" w:hanging="567"/>
        <w:jc w:val="both"/>
        <w:rPr>
          <w:rFonts w:ascii="Arial" w:hAnsi="Arial" w:cs="Arial"/>
          <w:color w:val="000000"/>
        </w:rPr>
      </w:pPr>
      <w:r w:rsidRPr="00230DB2">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4A27DE" w:rsidRPr="00230DB2" w:rsidRDefault="004A27DE" w:rsidP="004A27DE">
      <w:pPr>
        <w:jc w:val="both"/>
        <w:rPr>
          <w:rFonts w:ascii="Arial" w:hAnsi="Arial" w:cs="Arial"/>
          <w:color w:val="000000"/>
        </w:rPr>
      </w:pPr>
    </w:p>
    <w:p w:rsidR="004A27DE" w:rsidRPr="00230DB2" w:rsidRDefault="004A27DE" w:rsidP="004A27DE">
      <w:pPr>
        <w:numPr>
          <w:ilvl w:val="0"/>
          <w:numId w:val="2"/>
        </w:numPr>
        <w:ind w:left="567" w:hanging="567"/>
        <w:jc w:val="both"/>
        <w:rPr>
          <w:rFonts w:ascii="Arial" w:hAnsi="Arial" w:cs="Arial"/>
          <w:color w:val="000000"/>
        </w:rPr>
      </w:pPr>
      <w:r w:rsidRPr="00230DB2">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4A27DE" w:rsidRPr="00230DB2" w:rsidRDefault="004A27DE" w:rsidP="004A27DE">
      <w:pPr>
        <w:ind w:left="567"/>
        <w:jc w:val="both"/>
        <w:rPr>
          <w:rFonts w:ascii="Arial" w:hAnsi="Arial" w:cs="Arial"/>
          <w:color w:val="000000"/>
        </w:rPr>
      </w:pPr>
    </w:p>
    <w:p w:rsidR="004A27DE" w:rsidRPr="00230DB2" w:rsidRDefault="004A27DE" w:rsidP="004A27DE">
      <w:pPr>
        <w:ind w:left="567"/>
        <w:jc w:val="both"/>
        <w:rPr>
          <w:rFonts w:ascii="Arial" w:hAnsi="Arial" w:cs="Arial"/>
          <w:color w:val="000000"/>
        </w:rPr>
      </w:pPr>
      <w:r w:rsidRPr="00230DB2">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4A27DE" w:rsidRPr="00230DB2" w:rsidRDefault="004A27DE" w:rsidP="004A27DE">
      <w:pPr>
        <w:jc w:val="both"/>
        <w:rPr>
          <w:rFonts w:ascii="Arial" w:hAnsi="Arial" w:cs="Arial"/>
          <w:color w:val="000000"/>
        </w:rPr>
      </w:pPr>
    </w:p>
    <w:p w:rsidR="004A27DE" w:rsidRPr="00230DB2" w:rsidRDefault="004A27DE" w:rsidP="004A27DE">
      <w:pPr>
        <w:jc w:val="both"/>
        <w:rPr>
          <w:rFonts w:ascii="Arial" w:hAnsi="Arial" w:cs="Arial"/>
          <w:b/>
          <w:bCs/>
        </w:rPr>
      </w:pPr>
      <w:r w:rsidRPr="00230DB2">
        <w:rPr>
          <w:rFonts w:ascii="Arial" w:hAnsi="Arial" w:cs="Arial"/>
          <w:b/>
          <w:bCs/>
        </w:rPr>
        <w:t>Inicio de la etapa de precampaña del Proceso Electoral Federal 2017-2018, así como del Proceso Electoral Local 2017-2018 con jornada comicial coincidente con la federal, en el estado de Tamaulipas</w:t>
      </w:r>
    </w:p>
    <w:p w:rsidR="004A27DE" w:rsidRPr="00230DB2" w:rsidRDefault="004A27DE" w:rsidP="004A27DE">
      <w:pPr>
        <w:jc w:val="both"/>
        <w:rPr>
          <w:rFonts w:ascii="Arial" w:hAnsi="Arial" w:cs="Arial"/>
          <w:b/>
          <w:bCs/>
        </w:rPr>
      </w:pPr>
    </w:p>
    <w:p w:rsidR="004A27DE" w:rsidRPr="00230DB2" w:rsidRDefault="004A27DE" w:rsidP="004A27DE">
      <w:pPr>
        <w:numPr>
          <w:ilvl w:val="0"/>
          <w:numId w:val="2"/>
        </w:numPr>
        <w:ind w:left="567" w:hanging="567"/>
        <w:jc w:val="both"/>
        <w:rPr>
          <w:rFonts w:ascii="Arial" w:hAnsi="Arial" w:cs="Arial"/>
          <w:color w:val="000000"/>
        </w:rPr>
      </w:pPr>
      <w:r w:rsidRPr="00230DB2">
        <w:rPr>
          <w:rFonts w:ascii="Arial" w:hAnsi="Arial" w:cs="Arial"/>
          <w:color w:val="000000"/>
        </w:rPr>
        <w:t xml:space="preserve">De </w:t>
      </w:r>
      <w:r w:rsidRPr="00230DB2">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4A27DE" w:rsidRPr="00230DB2" w:rsidRDefault="004A27DE" w:rsidP="004A27DE">
      <w:pPr>
        <w:jc w:val="both"/>
        <w:rPr>
          <w:rFonts w:ascii="Arial" w:hAnsi="Arial" w:cs="Arial"/>
          <w:color w:val="000000"/>
        </w:rPr>
      </w:pPr>
    </w:p>
    <w:p w:rsidR="004A27DE" w:rsidRPr="00230DB2" w:rsidRDefault="004A27DE" w:rsidP="004A27DE">
      <w:pPr>
        <w:numPr>
          <w:ilvl w:val="0"/>
          <w:numId w:val="2"/>
        </w:numPr>
        <w:ind w:left="567" w:hanging="567"/>
        <w:jc w:val="both"/>
        <w:rPr>
          <w:rFonts w:ascii="Arial" w:hAnsi="Arial" w:cs="Arial"/>
          <w:color w:val="000000"/>
        </w:rPr>
      </w:pPr>
      <w:r w:rsidRPr="00230DB2">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Tamaulipas es coincidente, por lo que le resultan aplicables las reglas establecidas para tal supuesto en los ordenamientos citados. </w:t>
      </w:r>
    </w:p>
    <w:p w:rsidR="004A27DE" w:rsidRPr="00230DB2" w:rsidRDefault="004A27DE" w:rsidP="004A27DE">
      <w:pPr>
        <w:ind w:left="567"/>
        <w:jc w:val="both"/>
        <w:rPr>
          <w:rFonts w:ascii="Arial" w:hAnsi="Arial" w:cs="Arial"/>
          <w:color w:val="000000"/>
        </w:rPr>
      </w:pPr>
    </w:p>
    <w:p w:rsidR="004A27DE" w:rsidRPr="00230DB2" w:rsidRDefault="004A27DE" w:rsidP="004A27DE">
      <w:pPr>
        <w:numPr>
          <w:ilvl w:val="0"/>
          <w:numId w:val="2"/>
        </w:numPr>
        <w:ind w:left="567" w:hanging="567"/>
        <w:jc w:val="both"/>
        <w:rPr>
          <w:rFonts w:ascii="Arial" w:hAnsi="Arial" w:cs="Arial"/>
          <w:color w:val="000000"/>
        </w:rPr>
      </w:pPr>
      <w:r w:rsidRPr="00230DB2">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4A27DE" w:rsidRDefault="004A27DE" w:rsidP="004A27DE">
      <w:pPr>
        <w:ind w:left="567"/>
        <w:jc w:val="both"/>
        <w:rPr>
          <w:rFonts w:ascii="Arial" w:hAnsi="Arial" w:cs="Arial"/>
          <w:color w:val="000000"/>
          <w:highlight w:val="yellow"/>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4A27DE" w:rsidRPr="00D35B91" w:rsidTr="00497B11">
        <w:trPr>
          <w:trHeight w:val="330"/>
        </w:trPr>
        <w:tc>
          <w:tcPr>
            <w:tcW w:w="2268" w:type="dxa"/>
            <w:tcBorders>
              <w:top w:val="nil"/>
              <w:left w:val="nil"/>
              <w:bottom w:val="nil"/>
              <w:right w:val="nil"/>
            </w:tcBorders>
            <w:shd w:val="clear" w:color="000000" w:fill="C00000"/>
            <w:vAlign w:val="center"/>
            <w:hideMark/>
          </w:tcPr>
          <w:p w:rsidR="004A27DE" w:rsidRPr="00D35B91" w:rsidRDefault="004A27DE" w:rsidP="00497B11">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4A27DE" w:rsidRPr="00D35B91" w:rsidRDefault="004A27DE" w:rsidP="00497B11">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4A27DE" w:rsidRPr="00D35B91" w:rsidRDefault="004A27DE" w:rsidP="00497B11">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4A27DE" w:rsidRPr="00D35B91" w:rsidRDefault="004A27DE" w:rsidP="00497B11">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DURACIÓN</w:t>
            </w:r>
          </w:p>
        </w:tc>
      </w:tr>
      <w:tr w:rsidR="004A27DE" w:rsidRPr="00D35B91" w:rsidTr="00497B11">
        <w:trPr>
          <w:trHeight w:val="330"/>
        </w:trPr>
        <w:tc>
          <w:tcPr>
            <w:tcW w:w="2268" w:type="dxa"/>
            <w:tcBorders>
              <w:top w:val="nil"/>
              <w:left w:val="nil"/>
              <w:bottom w:val="nil"/>
              <w:right w:val="nil"/>
            </w:tcBorders>
            <w:shd w:val="clear" w:color="auto" w:fill="F2F2F2" w:themeFill="background1" w:themeFillShade="F2"/>
            <w:noWrap/>
            <w:vAlign w:val="center"/>
            <w:hideMark/>
          </w:tcPr>
          <w:p w:rsidR="004A27DE" w:rsidRPr="00D35B91" w:rsidRDefault="004A27DE" w:rsidP="00497B11">
            <w:pPr>
              <w:jc w:val="center"/>
              <w:rPr>
                <w:rFonts w:ascii="Calibri" w:hAnsi="Calibri"/>
                <w:b/>
                <w:bCs/>
                <w:color w:val="000000"/>
                <w:lang w:eastAsia="es-MX"/>
              </w:rPr>
            </w:pPr>
            <w:r w:rsidRPr="00D35B91">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4A27DE" w:rsidRPr="00D35B91" w:rsidRDefault="004A27DE" w:rsidP="00497B11">
            <w:pPr>
              <w:jc w:val="center"/>
              <w:rPr>
                <w:rFonts w:ascii="Calibri" w:hAnsi="Calibri"/>
                <w:color w:val="000000"/>
                <w:lang w:eastAsia="es-MX"/>
              </w:rPr>
            </w:pPr>
            <w:r w:rsidRPr="00D35B91">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4A27DE" w:rsidRPr="00D35B91" w:rsidRDefault="004A27DE" w:rsidP="00497B11">
            <w:pPr>
              <w:jc w:val="center"/>
              <w:rPr>
                <w:rFonts w:ascii="Calibri" w:hAnsi="Calibri"/>
                <w:color w:val="000000"/>
                <w:lang w:eastAsia="es-MX"/>
              </w:rPr>
            </w:pPr>
            <w:r w:rsidRPr="00D35B91">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4A27DE" w:rsidRPr="00D35B91" w:rsidRDefault="004A27DE" w:rsidP="00497B11">
            <w:pPr>
              <w:jc w:val="center"/>
              <w:rPr>
                <w:rFonts w:ascii="Calibri" w:hAnsi="Calibri"/>
                <w:color w:val="000000"/>
                <w:lang w:eastAsia="es-MX"/>
              </w:rPr>
            </w:pPr>
            <w:r w:rsidRPr="00D35B91">
              <w:rPr>
                <w:rFonts w:ascii="Calibri" w:hAnsi="Calibri"/>
                <w:color w:val="000000"/>
                <w:lang w:eastAsia="es-MX"/>
              </w:rPr>
              <w:t>60 días</w:t>
            </w:r>
          </w:p>
        </w:tc>
      </w:tr>
    </w:tbl>
    <w:p w:rsidR="004A27DE" w:rsidRDefault="004A27DE" w:rsidP="004A27DE">
      <w:pPr>
        <w:jc w:val="both"/>
        <w:rPr>
          <w:rFonts w:ascii="Arial" w:hAnsi="Arial" w:cs="Arial"/>
          <w:color w:val="000000"/>
          <w:highlight w:val="yellow"/>
        </w:rPr>
      </w:pPr>
    </w:p>
    <w:p w:rsidR="004A27DE" w:rsidRPr="00230DB2" w:rsidRDefault="004A27DE" w:rsidP="004A27DE">
      <w:pPr>
        <w:numPr>
          <w:ilvl w:val="0"/>
          <w:numId w:val="2"/>
        </w:numPr>
        <w:ind w:left="567" w:hanging="567"/>
        <w:jc w:val="both"/>
        <w:rPr>
          <w:rFonts w:ascii="Arial" w:hAnsi="Arial" w:cs="Arial"/>
          <w:color w:val="000000"/>
        </w:rPr>
      </w:pPr>
      <w:r w:rsidRPr="00AB575A">
        <w:rPr>
          <w:rFonts w:ascii="Arial" w:hAnsi="Arial" w:cs="Arial"/>
        </w:rPr>
        <w:t xml:space="preserve">El artículo </w:t>
      </w:r>
      <w:r w:rsidRPr="00230DB2">
        <w:rPr>
          <w:rFonts w:ascii="Arial" w:hAnsi="Arial" w:cs="Arial"/>
        </w:rPr>
        <w:t>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Tamaulipas, con la precampaña del Proceso Electoral Federal 2017-2018.</w:t>
      </w:r>
    </w:p>
    <w:p w:rsidR="004A27DE" w:rsidRPr="00230DB2" w:rsidRDefault="004A27DE" w:rsidP="004A27DE">
      <w:pPr>
        <w:ind w:left="567"/>
        <w:jc w:val="both"/>
        <w:rPr>
          <w:rFonts w:ascii="Arial" w:hAnsi="Arial" w:cs="Arial"/>
          <w:color w:val="000000"/>
        </w:rPr>
      </w:pPr>
    </w:p>
    <w:p w:rsidR="004A27DE" w:rsidRPr="00230DB2" w:rsidRDefault="004A27DE" w:rsidP="004A27DE">
      <w:pPr>
        <w:ind w:left="567"/>
        <w:jc w:val="both"/>
        <w:rPr>
          <w:rFonts w:ascii="Arial" w:hAnsi="Arial" w:cs="Arial"/>
          <w:color w:val="000000"/>
        </w:rPr>
      </w:pPr>
      <w:r w:rsidRPr="00230DB2">
        <w:rPr>
          <w:rFonts w:ascii="Arial" w:hAnsi="Arial" w:cs="Arial"/>
        </w:rPr>
        <w:t>De conformidad con lo anterior, este Comité estima necesario modificar las pautas del periodo de precampaña del Proceso Electoral Federal 2017-2018, en el estado de Tamaulipas, aprobadas mediante el Acuerdo INE/ACRT/24/2017.</w:t>
      </w:r>
    </w:p>
    <w:p w:rsidR="004A27DE" w:rsidRPr="00230DB2" w:rsidRDefault="004A27DE" w:rsidP="004A27DE">
      <w:pPr>
        <w:jc w:val="both"/>
        <w:rPr>
          <w:rFonts w:ascii="Arial" w:hAnsi="Arial" w:cs="Arial"/>
          <w:color w:val="000000"/>
        </w:rPr>
      </w:pPr>
    </w:p>
    <w:p w:rsidR="004A27DE" w:rsidRPr="00230DB2" w:rsidRDefault="004A27DE" w:rsidP="004A27DE">
      <w:pPr>
        <w:numPr>
          <w:ilvl w:val="0"/>
          <w:numId w:val="2"/>
        </w:numPr>
        <w:ind w:left="567" w:hanging="567"/>
        <w:jc w:val="both"/>
        <w:rPr>
          <w:rFonts w:ascii="Arial" w:hAnsi="Arial" w:cs="Arial"/>
          <w:color w:val="000000"/>
        </w:rPr>
      </w:pPr>
      <w:r w:rsidRPr="00230DB2">
        <w:rPr>
          <w:rFonts w:ascii="Arial" w:hAnsi="Arial" w:cs="Arial"/>
          <w:color w:val="000000"/>
        </w:rPr>
        <w:t>Con base en el Acuerdo señalado en los antecedentes del presente instrumento, el Instituto Electoral de Tamaulipas, informó al Instituto Nacional Electoral que aprobó un periodo de acceso conjunto a radio y televisión para los cargos a contenderse durante el proceso electoral local coincidente con el federal, que se llevará a cabo en dicha entidad.</w:t>
      </w:r>
    </w:p>
    <w:p w:rsidR="004A27DE" w:rsidRPr="00230DB2" w:rsidRDefault="004A27DE" w:rsidP="004A27DE">
      <w:pPr>
        <w:rPr>
          <w:rFonts w:ascii="Arial" w:hAnsi="Arial" w:cs="Arial"/>
          <w:color w:val="000000"/>
        </w:rPr>
      </w:pPr>
    </w:p>
    <w:p w:rsidR="004A27DE" w:rsidRPr="00D11FC5" w:rsidRDefault="004A27DE" w:rsidP="004A27DE">
      <w:pPr>
        <w:ind w:left="567"/>
        <w:jc w:val="both"/>
        <w:rPr>
          <w:rFonts w:ascii="Arial" w:hAnsi="Arial" w:cs="Arial"/>
          <w:color w:val="000000"/>
        </w:rPr>
      </w:pPr>
      <w:r w:rsidRPr="00230DB2">
        <w:rPr>
          <w:rFonts w:ascii="Arial" w:hAnsi="Arial" w:cs="Arial"/>
          <w:color w:val="000000"/>
        </w:rPr>
        <w:t>A continuación se indica la duración de las etapas de precampaña local y federal</w:t>
      </w:r>
      <w:r w:rsidRPr="00D11FC5">
        <w:rPr>
          <w:rFonts w:ascii="Arial" w:hAnsi="Arial" w:cs="Arial"/>
          <w:color w:val="000000"/>
        </w:rPr>
        <w:t>:</w:t>
      </w:r>
    </w:p>
    <w:p w:rsidR="004A27DE" w:rsidRPr="00D11FC5" w:rsidRDefault="004A27DE" w:rsidP="004A27DE">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4A27DE" w:rsidRPr="00D11FC5" w:rsidTr="00497B11">
        <w:trPr>
          <w:trHeight w:val="330"/>
        </w:trPr>
        <w:tc>
          <w:tcPr>
            <w:tcW w:w="2380" w:type="dxa"/>
            <w:tcBorders>
              <w:top w:val="nil"/>
              <w:left w:val="nil"/>
              <w:bottom w:val="nil"/>
              <w:right w:val="nil"/>
            </w:tcBorders>
            <w:shd w:val="clear" w:color="000000" w:fill="C00000"/>
            <w:vAlign w:val="center"/>
            <w:hideMark/>
          </w:tcPr>
          <w:p w:rsidR="004A27DE" w:rsidRPr="00D11FC5" w:rsidRDefault="004A27DE" w:rsidP="00497B1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4A27DE" w:rsidRPr="00D11FC5" w:rsidRDefault="004A27DE" w:rsidP="00497B1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4A27DE" w:rsidRPr="00D11FC5" w:rsidRDefault="004A27DE" w:rsidP="00497B1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4A27DE" w:rsidRPr="00D11FC5" w:rsidRDefault="004A27DE" w:rsidP="00497B11">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4A27DE" w:rsidRPr="00D11FC5" w:rsidTr="00497B11">
        <w:trPr>
          <w:trHeight w:val="330"/>
        </w:trPr>
        <w:tc>
          <w:tcPr>
            <w:tcW w:w="2380" w:type="dxa"/>
            <w:tcBorders>
              <w:top w:val="nil"/>
              <w:left w:val="nil"/>
              <w:bottom w:val="nil"/>
              <w:right w:val="nil"/>
            </w:tcBorders>
            <w:shd w:val="clear" w:color="000000" w:fill="F2F2F2"/>
            <w:noWrap/>
            <w:vAlign w:val="center"/>
            <w:hideMark/>
          </w:tcPr>
          <w:p w:rsidR="004A27DE" w:rsidRPr="00D11FC5" w:rsidRDefault="004A27DE" w:rsidP="00497B11">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4A27DE" w:rsidRDefault="004A27DE"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4A27DE" w:rsidRPr="00D11FC5" w:rsidRDefault="004A27DE"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13 de enero de 2018</w:t>
            </w:r>
          </w:p>
        </w:tc>
        <w:tc>
          <w:tcPr>
            <w:tcW w:w="2380" w:type="dxa"/>
            <w:vMerge w:val="restart"/>
            <w:tcBorders>
              <w:top w:val="nil"/>
              <w:left w:val="nil"/>
              <w:right w:val="nil"/>
            </w:tcBorders>
            <w:shd w:val="clear" w:color="000000" w:fill="F2F2F2"/>
            <w:noWrap/>
            <w:vAlign w:val="center"/>
            <w:hideMark/>
          </w:tcPr>
          <w:p w:rsidR="004A27DE" w:rsidRDefault="004A27DE"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4A27DE" w:rsidRPr="00D11FC5" w:rsidRDefault="004A27DE"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4A27DE" w:rsidRDefault="004A27DE"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4A27DE" w:rsidRPr="00D11FC5" w:rsidRDefault="004A27DE" w:rsidP="00497B11">
            <w:pPr>
              <w:jc w:val="center"/>
              <w:rPr>
                <w:rFonts w:ascii="Calibri" w:hAnsi="Calibri"/>
                <w:color w:val="000000"/>
                <w:sz w:val="22"/>
                <w:szCs w:val="22"/>
                <w:lang w:val="es-MX" w:eastAsia="es-MX"/>
              </w:rPr>
            </w:pPr>
            <w:r>
              <w:rPr>
                <w:rFonts w:ascii="Calibri" w:hAnsi="Calibri"/>
                <w:color w:val="000000"/>
                <w:sz w:val="22"/>
                <w:szCs w:val="22"/>
                <w:lang w:val="es-MX" w:eastAsia="es-MX"/>
              </w:rPr>
              <w:t>30 días</w:t>
            </w:r>
          </w:p>
        </w:tc>
      </w:tr>
      <w:tr w:rsidR="004A27DE" w:rsidRPr="00D11FC5" w:rsidTr="00497B11">
        <w:trPr>
          <w:trHeight w:val="330"/>
        </w:trPr>
        <w:tc>
          <w:tcPr>
            <w:tcW w:w="2380" w:type="dxa"/>
            <w:tcBorders>
              <w:top w:val="nil"/>
              <w:left w:val="nil"/>
              <w:bottom w:val="nil"/>
              <w:right w:val="nil"/>
            </w:tcBorders>
            <w:shd w:val="clear" w:color="000000" w:fill="F2F2F2"/>
            <w:noWrap/>
            <w:vAlign w:val="center"/>
          </w:tcPr>
          <w:p w:rsidR="004A27DE" w:rsidRPr="00D11FC5" w:rsidRDefault="004A27DE" w:rsidP="00497B11">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4A27DE" w:rsidRPr="00D11FC5" w:rsidRDefault="004A27DE" w:rsidP="00497B11">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4A27DE" w:rsidRPr="00D11FC5" w:rsidRDefault="004A27DE" w:rsidP="00497B11">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4A27DE" w:rsidRPr="00D11FC5" w:rsidRDefault="004A27DE" w:rsidP="00497B11">
            <w:pPr>
              <w:jc w:val="center"/>
              <w:rPr>
                <w:rFonts w:ascii="Calibri" w:hAnsi="Calibri"/>
                <w:color w:val="000000"/>
                <w:sz w:val="22"/>
                <w:szCs w:val="22"/>
                <w:lang w:val="es-MX" w:eastAsia="es-MX"/>
              </w:rPr>
            </w:pPr>
          </w:p>
        </w:tc>
      </w:tr>
    </w:tbl>
    <w:p w:rsidR="004A27DE" w:rsidRPr="00D11FC5" w:rsidRDefault="004A27DE" w:rsidP="004A27DE">
      <w:pPr>
        <w:jc w:val="both"/>
        <w:rPr>
          <w:rFonts w:ascii="Arial" w:hAnsi="Arial" w:cs="Arial"/>
        </w:rPr>
      </w:pPr>
    </w:p>
    <w:p w:rsidR="004A27DE" w:rsidRDefault="004A27DE" w:rsidP="004A27DE">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4A27DE" w:rsidRDefault="004A27DE" w:rsidP="004A27DE">
      <w:pPr>
        <w:contextualSpacing/>
        <w:jc w:val="both"/>
        <w:rPr>
          <w:rFonts w:ascii="Arial" w:hAnsi="Arial" w:cs="Arial"/>
          <w:b/>
          <w:bCs/>
          <w:color w:val="000000"/>
        </w:rPr>
      </w:pPr>
    </w:p>
    <w:p w:rsidR="0089119A" w:rsidRPr="00D11FC5" w:rsidRDefault="0089119A" w:rsidP="004A27DE">
      <w:pPr>
        <w:contextualSpacing/>
        <w:jc w:val="both"/>
        <w:rPr>
          <w:rFonts w:ascii="Arial" w:hAnsi="Arial" w:cs="Arial"/>
          <w:b/>
          <w:bCs/>
          <w:color w:val="000000"/>
        </w:rPr>
      </w:pPr>
    </w:p>
    <w:p w:rsidR="004A27DE" w:rsidRPr="00D11FC5" w:rsidRDefault="004A27DE" w:rsidP="004A27DE">
      <w:pPr>
        <w:contextualSpacing/>
        <w:jc w:val="both"/>
        <w:rPr>
          <w:rFonts w:ascii="Arial" w:hAnsi="Arial" w:cs="Arial"/>
          <w:color w:val="000000"/>
        </w:rPr>
      </w:pPr>
      <w:r w:rsidRPr="00D11FC5">
        <w:rPr>
          <w:rFonts w:ascii="Arial" w:hAnsi="Arial" w:cs="Arial"/>
          <w:b/>
          <w:bCs/>
          <w:color w:val="000000"/>
        </w:rPr>
        <w:t>Tiempos a distribuir en radio y televisión de conformidad con la normatividad aplicable.</w:t>
      </w:r>
    </w:p>
    <w:p w:rsidR="004A27DE" w:rsidRPr="00D11FC5" w:rsidRDefault="004A27DE" w:rsidP="004A27DE">
      <w:pPr>
        <w:ind w:left="426" w:hanging="426"/>
        <w:jc w:val="both"/>
        <w:rPr>
          <w:rFonts w:ascii="Arial" w:hAnsi="Arial" w:cs="Arial"/>
        </w:rPr>
      </w:pPr>
    </w:p>
    <w:p w:rsidR="004A27DE" w:rsidRPr="00D11FC5" w:rsidRDefault="004A27DE" w:rsidP="004A27DE">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w:t>
      </w:r>
      <w:r w:rsidRPr="00D11FC5">
        <w:rPr>
          <w:rFonts w:ascii="Arial" w:hAnsi="Arial" w:cs="Arial"/>
          <w:color w:val="000000"/>
        </w:rPr>
        <w:lastRenderedPageBreak/>
        <w:t>de carácter federal y local, a partir del inicio de las precampañas hasta el día de la jornada electoral, el Instituto tendrá a su disposición cuarenta y ocho minutos diarios en cada estación de radio y canal de televisión de la entidad de que se trate.</w:t>
      </w:r>
    </w:p>
    <w:p w:rsidR="004A27DE" w:rsidRPr="00D11FC5" w:rsidRDefault="004A27DE" w:rsidP="004A27DE">
      <w:pPr>
        <w:tabs>
          <w:tab w:val="num" w:pos="4933"/>
        </w:tabs>
        <w:jc w:val="both"/>
        <w:rPr>
          <w:rFonts w:ascii="Arial" w:hAnsi="Arial" w:cs="Arial"/>
        </w:rPr>
      </w:pPr>
    </w:p>
    <w:p w:rsidR="004A27DE" w:rsidRPr="00D11FC5" w:rsidRDefault="004A27DE" w:rsidP="004A27DE">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4A27DE" w:rsidRPr="00D11FC5" w:rsidRDefault="004A27DE" w:rsidP="004A27DE">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4A27DE" w:rsidRPr="00D11FC5" w:rsidRDefault="004A27DE" w:rsidP="004A27DE">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4A27DE" w:rsidRPr="00D11FC5" w:rsidRDefault="004A27DE" w:rsidP="004A27DE">
      <w:pPr>
        <w:pStyle w:val="Prrafodelista"/>
        <w:autoSpaceDE w:val="0"/>
        <w:autoSpaceDN w:val="0"/>
        <w:adjustRightInd w:val="0"/>
        <w:spacing w:after="0" w:line="240" w:lineRule="auto"/>
        <w:ind w:left="567" w:hanging="283"/>
        <w:jc w:val="both"/>
        <w:rPr>
          <w:rFonts w:ascii="Arial" w:hAnsi="Arial" w:cs="Arial"/>
          <w:sz w:val="24"/>
          <w:szCs w:val="24"/>
        </w:rPr>
      </w:pPr>
    </w:p>
    <w:p w:rsidR="004A27DE" w:rsidRPr="00D11FC5" w:rsidRDefault="004A27DE" w:rsidP="004A27DE">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4A27DE" w:rsidRPr="0009792A" w:rsidRDefault="004A27DE" w:rsidP="004A27DE">
      <w:pPr>
        <w:pStyle w:val="Prrafodelista"/>
        <w:autoSpaceDE w:val="0"/>
        <w:autoSpaceDN w:val="0"/>
        <w:adjustRightInd w:val="0"/>
        <w:spacing w:after="0" w:line="240" w:lineRule="auto"/>
        <w:ind w:left="567" w:hanging="283"/>
        <w:jc w:val="both"/>
        <w:rPr>
          <w:rFonts w:ascii="Arial" w:hAnsi="Arial" w:cs="Arial"/>
          <w:sz w:val="24"/>
          <w:szCs w:val="24"/>
        </w:rPr>
      </w:pPr>
    </w:p>
    <w:p w:rsidR="004A27DE" w:rsidRPr="0009792A" w:rsidRDefault="004A27DE" w:rsidP="004A27DE">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4A27DE" w:rsidRPr="00D11FC5" w:rsidRDefault="004A27DE" w:rsidP="004A27DE">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4A27DE" w:rsidRPr="00D11FC5" w:rsidTr="00497B11">
        <w:trPr>
          <w:trHeight w:val="275"/>
        </w:trPr>
        <w:tc>
          <w:tcPr>
            <w:tcW w:w="2694" w:type="dxa"/>
            <w:tcBorders>
              <w:bottom w:val="single" w:sz="12" w:space="0" w:color="FFFFFF"/>
            </w:tcBorders>
            <w:shd w:val="clear" w:color="auto" w:fill="C00000"/>
            <w:vAlign w:val="center"/>
          </w:tcPr>
          <w:p w:rsidR="004A27DE" w:rsidRPr="00D11FC5" w:rsidRDefault="004A27DE" w:rsidP="00497B11">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4A27DE" w:rsidRPr="00D11FC5" w:rsidRDefault="004A27DE" w:rsidP="00497B11">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4A27DE" w:rsidRPr="00D11FC5" w:rsidRDefault="004A27DE" w:rsidP="00497B11">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4A27DE" w:rsidRPr="00D11FC5" w:rsidTr="00497B11">
        <w:trPr>
          <w:trHeight w:val="270"/>
        </w:trPr>
        <w:tc>
          <w:tcPr>
            <w:tcW w:w="2694" w:type="dxa"/>
            <w:shd w:val="clear" w:color="auto" w:fill="CCCCCC"/>
            <w:vAlign w:val="center"/>
          </w:tcPr>
          <w:p w:rsidR="004A27DE" w:rsidRPr="00D11FC5" w:rsidRDefault="004A27DE" w:rsidP="00497B11">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4A27DE" w:rsidRPr="00D11FC5" w:rsidRDefault="004A27DE" w:rsidP="00497B11">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4A27DE" w:rsidRPr="00D11FC5" w:rsidRDefault="004A27DE" w:rsidP="00497B11">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4A27DE" w:rsidRPr="00D11FC5" w:rsidRDefault="004A27DE" w:rsidP="004A27DE">
      <w:pPr>
        <w:jc w:val="both"/>
        <w:rPr>
          <w:rFonts w:ascii="Arial" w:hAnsi="Arial" w:cs="Arial"/>
          <w:color w:val="000000"/>
        </w:rPr>
      </w:pPr>
    </w:p>
    <w:p w:rsidR="004A27DE" w:rsidRPr="00230DB2" w:rsidRDefault="004A27DE" w:rsidP="004A27DE">
      <w:pPr>
        <w:numPr>
          <w:ilvl w:val="0"/>
          <w:numId w:val="2"/>
        </w:numPr>
        <w:ind w:left="567" w:hanging="567"/>
        <w:jc w:val="both"/>
        <w:rPr>
          <w:rFonts w:ascii="Arial" w:hAnsi="Arial" w:cs="Arial"/>
          <w:color w:val="000000"/>
        </w:rPr>
      </w:pPr>
      <w:r w:rsidRPr="00D11FC5">
        <w:rPr>
          <w:rFonts w:ascii="Arial" w:hAnsi="Arial" w:cs="Arial"/>
          <w:color w:val="000000"/>
        </w:rPr>
        <w:t xml:space="preserve">El artículo 23, </w:t>
      </w:r>
      <w:r w:rsidRPr="00230DB2">
        <w:rPr>
          <w:rFonts w:ascii="Arial" w:hAnsi="Arial" w:cs="Arial"/>
          <w:color w:val="000000"/>
        </w:rPr>
        <w:t>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tiempos en las precampañas federal y local en el estado de Tamaulipas, atendiendo a la coincidencia de las mismas, se asignará de la siguiente manera:</w:t>
      </w:r>
    </w:p>
    <w:p w:rsidR="004A27DE" w:rsidRPr="00D11FC5" w:rsidRDefault="004A27DE" w:rsidP="004A27DE">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4A27DE" w:rsidRPr="00D11FC5" w:rsidTr="00497B11">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4A27DE" w:rsidRPr="00D11FC5" w:rsidRDefault="004A27DE"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4A27DE" w:rsidRPr="00D11FC5" w:rsidRDefault="004A27DE"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4A27DE" w:rsidRPr="00D11FC5" w:rsidRDefault="004A27DE"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4A27DE" w:rsidRPr="00D11FC5" w:rsidRDefault="004A27DE"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4A27DE" w:rsidRPr="00D11FC5" w:rsidRDefault="004A27DE" w:rsidP="00497B11">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4A27DE" w:rsidRPr="00D11FC5" w:rsidTr="00497B11">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4A27DE" w:rsidRPr="00D11FC5" w:rsidRDefault="004A27DE"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4A27DE" w:rsidRPr="00D11FC5" w:rsidRDefault="004A27DE"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4A27DE" w:rsidRPr="00D11FC5" w:rsidRDefault="004A27DE"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4A27DE" w:rsidRPr="00D11FC5" w:rsidRDefault="004A27DE"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4A27DE" w:rsidRPr="00D11FC5" w:rsidRDefault="004A27DE" w:rsidP="00497B11">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4A27DE" w:rsidRPr="00D11FC5" w:rsidRDefault="004A27DE" w:rsidP="004A27DE">
      <w:pPr>
        <w:ind w:left="567"/>
        <w:jc w:val="both"/>
        <w:rPr>
          <w:rFonts w:ascii="Arial" w:hAnsi="Arial" w:cs="Arial"/>
          <w:color w:val="000000"/>
        </w:rPr>
      </w:pPr>
    </w:p>
    <w:p w:rsidR="004A27DE" w:rsidRPr="00D11FC5" w:rsidRDefault="004A27DE" w:rsidP="004A27DE">
      <w:pPr>
        <w:ind w:left="567"/>
        <w:jc w:val="both"/>
        <w:rPr>
          <w:rFonts w:ascii="Arial" w:hAnsi="Arial" w:cs="Arial"/>
          <w:color w:val="000000"/>
        </w:rPr>
      </w:pPr>
    </w:p>
    <w:p w:rsidR="004A27DE" w:rsidRPr="00D11FC5" w:rsidRDefault="004A27DE" w:rsidP="004A27DE">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4A27DE" w:rsidRPr="00D11FC5" w:rsidRDefault="004A27DE" w:rsidP="004A27DE">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4A27DE" w:rsidRPr="00D11FC5" w:rsidTr="00497B11">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4A27DE" w:rsidRPr="00D11FC5" w:rsidRDefault="004A27DE"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A27DE" w:rsidRPr="00D11FC5" w:rsidRDefault="004A27DE"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A27DE" w:rsidRPr="00D11FC5" w:rsidRDefault="004A27DE"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A27DE" w:rsidRPr="00D11FC5" w:rsidRDefault="004A27DE"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A27DE" w:rsidRPr="00D11FC5" w:rsidRDefault="004A27DE"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4A27DE" w:rsidRPr="00D11FC5" w:rsidRDefault="004A27DE"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4A27DE" w:rsidRPr="00D11FC5" w:rsidRDefault="004A27DE" w:rsidP="00497B11">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4A27DE" w:rsidRPr="00D11FC5" w:rsidTr="00497B11">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1140</w:t>
            </w:r>
          </w:p>
        </w:tc>
        <w:tc>
          <w:tcPr>
            <w:tcW w:w="610"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342</w:t>
            </w:r>
          </w:p>
        </w:tc>
        <w:tc>
          <w:tcPr>
            <w:tcW w:w="697"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793</w:t>
            </w:r>
          </w:p>
        </w:tc>
        <w:tc>
          <w:tcPr>
            <w:tcW w:w="730"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5</w:t>
            </w:r>
          </w:p>
        </w:tc>
        <w:tc>
          <w:tcPr>
            <w:tcW w:w="730" w:type="pct"/>
            <w:tcBorders>
              <w:top w:val="nil"/>
              <w:left w:val="nil"/>
              <w:bottom w:val="single" w:sz="4" w:space="0" w:color="auto"/>
              <w:right w:val="single" w:sz="4" w:space="0" w:color="auto"/>
            </w:tcBorders>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0</w:t>
            </w:r>
          </w:p>
        </w:tc>
      </w:tr>
      <w:tr w:rsidR="004A27DE" w:rsidRPr="00D11FC5" w:rsidTr="00497B11">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4A27DE" w:rsidRPr="00D11FC5" w:rsidRDefault="004A27DE" w:rsidP="00497B11">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660</w:t>
            </w:r>
          </w:p>
        </w:tc>
        <w:tc>
          <w:tcPr>
            <w:tcW w:w="610"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198</w:t>
            </w:r>
          </w:p>
        </w:tc>
        <w:tc>
          <w:tcPr>
            <w:tcW w:w="697"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458</w:t>
            </w:r>
          </w:p>
        </w:tc>
        <w:tc>
          <w:tcPr>
            <w:tcW w:w="730" w:type="pct"/>
            <w:tcBorders>
              <w:top w:val="nil"/>
              <w:left w:val="nil"/>
              <w:bottom w:val="single" w:sz="4" w:space="0" w:color="auto"/>
              <w:right w:val="single" w:sz="4" w:space="0" w:color="auto"/>
            </w:tcBorders>
            <w:shd w:val="clear" w:color="auto" w:fill="auto"/>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4</w:t>
            </w:r>
          </w:p>
        </w:tc>
        <w:tc>
          <w:tcPr>
            <w:tcW w:w="730" w:type="pct"/>
            <w:tcBorders>
              <w:top w:val="nil"/>
              <w:left w:val="nil"/>
              <w:bottom w:val="single" w:sz="4" w:space="0" w:color="auto"/>
              <w:right w:val="single" w:sz="4" w:space="0" w:color="auto"/>
            </w:tcBorders>
            <w:vAlign w:val="center"/>
          </w:tcPr>
          <w:p w:rsidR="004A27DE" w:rsidRPr="00D11FC5" w:rsidRDefault="004A27DE" w:rsidP="00497B11">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4A27DE" w:rsidRPr="00347208" w:rsidRDefault="004A27DE" w:rsidP="004A27DE">
      <w:pPr>
        <w:jc w:val="both"/>
        <w:rPr>
          <w:rFonts w:ascii="Arial" w:hAnsi="Arial" w:cs="Arial"/>
        </w:rPr>
      </w:pPr>
    </w:p>
    <w:p w:rsidR="004A27DE" w:rsidRDefault="004A27DE" w:rsidP="004A27DE">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89119A" w:rsidRPr="00766B63" w:rsidRDefault="0089119A" w:rsidP="004A27DE">
      <w:pPr>
        <w:pStyle w:val="Prrafodelista"/>
        <w:spacing w:after="0" w:line="240" w:lineRule="auto"/>
        <w:ind w:left="567"/>
        <w:jc w:val="both"/>
        <w:rPr>
          <w:rFonts w:ascii="Arial" w:hAnsi="Arial" w:cs="Arial"/>
          <w:sz w:val="24"/>
          <w:szCs w:val="24"/>
        </w:rPr>
      </w:pPr>
    </w:p>
    <w:p w:rsidR="004A27DE" w:rsidRPr="00D11FC5" w:rsidRDefault="004A27DE" w:rsidP="004A27DE">
      <w:pPr>
        <w:jc w:val="center"/>
        <w:rPr>
          <w:rFonts w:ascii="Arial" w:hAnsi="Arial" w:cs="Arial"/>
          <w:color w:val="000000"/>
        </w:rPr>
      </w:pPr>
      <w:r w:rsidRPr="00766B63">
        <w:rPr>
          <w:noProof/>
          <w:lang w:val="es-MX" w:eastAsia="es-MX"/>
        </w:rPr>
        <w:drawing>
          <wp:inline distT="0" distB="0" distL="0" distR="0" wp14:anchorId="1044A2B0" wp14:editId="3421E519">
            <wp:extent cx="5971540" cy="3769820"/>
            <wp:effectExtent l="0" t="0" r="0" b="254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3769820"/>
                    </a:xfrm>
                    <a:prstGeom prst="rect">
                      <a:avLst/>
                    </a:prstGeom>
                    <a:noFill/>
                    <a:ln>
                      <a:noFill/>
                    </a:ln>
                  </pic:spPr>
                </pic:pic>
              </a:graphicData>
            </a:graphic>
          </wp:inline>
        </w:drawing>
      </w:r>
    </w:p>
    <w:p w:rsidR="004A27DE" w:rsidRDefault="004A27DE" w:rsidP="004A27DE">
      <w:pPr>
        <w:autoSpaceDE w:val="0"/>
        <w:autoSpaceDN w:val="0"/>
        <w:adjustRightInd w:val="0"/>
        <w:spacing w:line="260" w:lineRule="exact"/>
        <w:rPr>
          <w:rFonts w:ascii="Arial,Bold" w:hAnsi="Arial,Bold" w:cs="Arial,Bold"/>
          <w:b/>
          <w:bCs/>
        </w:rPr>
      </w:pPr>
      <w:r w:rsidRPr="00766B63">
        <w:rPr>
          <w:noProof/>
          <w:lang w:val="es-MX" w:eastAsia="es-MX"/>
        </w:rPr>
        <w:lastRenderedPageBreak/>
        <w:drawing>
          <wp:anchor distT="0" distB="0" distL="114300" distR="114300" simplePos="0" relativeHeight="251659264" behindDoc="0" locked="0" layoutInCell="1" allowOverlap="1" wp14:anchorId="135EBB8A" wp14:editId="344D4D3D">
            <wp:simplePos x="0" y="0"/>
            <wp:positionH relativeFrom="margin">
              <wp:align>left</wp:align>
            </wp:positionH>
            <wp:positionV relativeFrom="paragraph">
              <wp:posOffset>79375</wp:posOffset>
            </wp:positionV>
            <wp:extent cx="5971540" cy="39433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3943350"/>
                    </a:xfrm>
                    <a:prstGeom prst="rect">
                      <a:avLst/>
                    </a:prstGeom>
                    <a:noFill/>
                    <a:ln>
                      <a:noFill/>
                    </a:ln>
                  </pic:spPr>
                </pic:pic>
              </a:graphicData>
            </a:graphic>
            <wp14:sizeRelV relativeFrom="margin">
              <wp14:pctHeight>0</wp14:pctHeight>
            </wp14:sizeRelV>
          </wp:anchor>
        </w:drawing>
      </w:r>
    </w:p>
    <w:p w:rsidR="004A27DE" w:rsidRPr="00D11FC5" w:rsidRDefault="004A27DE" w:rsidP="004A27DE">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4A27DE" w:rsidRPr="00D11FC5" w:rsidRDefault="004A27DE" w:rsidP="004A27DE">
      <w:pPr>
        <w:spacing w:line="260" w:lineRule="exact"/>
        <w:ind w:left="426" w:hanging="426"/>
        <w:jc w:val="both"/>
        <w:rPr>
          <w:rFonts w:ascii="Arial" w:hAnsi="Arial" w:cs="Arial"/>
          <w:color w:val="000000"/>
        </w:rPr>
      </w:pPr>
    </w:p>
    <w:p w:rsidR="004A27DE" w:rsidRPr="00D11FC5" w:rsidRDefault="004A27DE" w:rsidP="004A27DE">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4A27DE" w:rsidRPr="00D11FC5" w:rsidRDefault="004A27DE" w:rsidP="004A27DE">
      <w:pPr>
        <w:autoSpaceDE w:val="0"/>
        <w:autoSpaceDN w:val="0"/>
        <w:adjustRightInd w:val="0"/>
        <w:spacing w:line="260" w:lineRule="exact"/>
        <w:jc w:val="both"/>
        <w:rPr>
          <w:rFonts w:ascii="Arial" w:hAnsi="Arial" w:cs="Arial"/>
          <w:color w:val="000000"/>
        </w:rPr>
      </w:pPr>
    </w:p>
    <w:p w:rsidR="004A27DE" w:rsidRPr="00230DB2" w:rsidRDefault="004A27DE" w:rsidP="004A27DE">
      <w:pPr>
        <w:spacing w:line="260" w:lineRule="exact"/>
        <w:ind w:left="567"/>
        <w:jc w:val="both"/>
        <w:rPr>
          <w:rFonts w:ascii="Arial" w:hAnsi="Arial" w:cs="Arial"/>
        </w:rPr>
      </w:pPr>
      <w:r w:rsidRPr="00230DB2">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Tamaulipas. </w:t>
      </w:r>
    </w:p>
    <w:p w:rsidR="004A27DE" w:rsidRPr="00230DB2" w:rsidRDefault="004A27DE" w:rsidP="004A27DE">
      <w:pPr>
        <w:spacing w:line="260" w:lineRule="exact"/>
        <w:ind w:left="567"/>
        <w:jc w:val="both"/>
        <w:rPr>
          <w:rFonts w:ascii="Arial" w:hAnsi="Arial" w:cs="Arial"/>
        </w:rPr>
      </w:pPr>
    </w:p>
    <w:p w:rsidR="004A27DE" w:rsidRPr="00230DB2" w:rsidRDefault="004A27DE" w:rsidP="004A27DE">
      <w:pPr>
        <w:numPr>
          <w:ilvl w:val="0"/>
          <w:numId w:val="2"/>
        </w:numPr>
        <w:spacing w:line="260" w:lineRule="exact"/>
        <w:ind w:left="567" w:hanging="567"/>
        <w:jc w:val="both"/>
        <w:rPr>
          <w:rFonts w:ascii="Arial" w:hAnsi="Arial" w:cs="Arial"/>
          <w:color w:val="000000"/>
          <w:spacing w:val="-4"/>
        </w:rPr>
      </w:pPr>
      <w:r w:rsidRPr="00230DB2">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4A27DE" w:rsidRPr="00230DB2" w:rsidRDefault="004A27DE" w:rsidP="004A27DE">
      <w:pPr>
        <w:pStyle w:val="Prrafodelista"/>
        <w:autoSpaceDE w:val="0"/>
        <w:autoSpaceDN w:val="0"/>
        <w:adjustRightInd w:val="0"/>
        <w:spacing w:after="0" w:line="260" w:lineRule="exact"/>
        <w:ind w:left="567"/>
        <w:jc w:val="both"/>
        <w:rPr>
          <w:rFonts w:ascii="Arial" w:hAnsi="Arial" w:cs="Arial"/>
          <w:color w:val="000000"/>
          <w:sz w:val="24"/>
          <w:szCs w:val="24"/>
        </w:rPr>
      </w:pPr>
    </w:p>
    <w:p w:rsidR="004A27DE" w:rsidRPr="00230DB2" w:rsidRDefault="004A27DE" w:rsidP="004A27DE">
      <w:pPr>
        <w:autoSpaceDE w:val="0"/>
        <w:autoSpaceDN w:val="0"/>
        <w:adjustRightInd w:val="0"/>
        <w:spacing w:line="260" w:lineRule="exact"/>
        <w:ind w:left="567"/>
        <w:contextualSpacing/>
        <w:jc w:val="both"/>
        <w:rPr>
          <w:rFonts w:ascii="Arial" w:hAnsi="Arial" w:cs="Arial"/>
          <w:color w:val="000000"/>
          <w:spacing w:val="-2"/>
        </w:rPr>
      </w:pPr>
      <w:r w:rsidRPr="00230DB2">
        <w:rPr>
          <w:rFonts w:ascii="Arial" w:hAnsi="Arial" w:cs="Arial"/>
          <w:color w:val="000000"/>
          <w:spacing w:val="-2"/>
        </w:rPr>
        <w:t xml:space="preserve">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w:t>
      </w:r>
      <w:r w:rsidRPr="00230DB2">
        <w:rPr>
          <w:rFonts w:ascii="Arial" w:hAnsi="Arial" w:cs="Arial"/>
          <w:color w:val="000000"/>
          <w:spacing w:val="-2"/>
        </w:rPr>
        <w:lastRenderedPageBreak/>
        <w:t>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4A27DE" w:rsidRPr="00230DB2" w:rsidRDefault="004A27DE" w:rsidP="004A27DE">
      <w:pPr>
        <w:autoSpaceDE w:val="0"/>
        <w:autoSpaceDN w:val="0"/>
        <w:adjustRightInd w:val="0"/>
        <w:ind w:left="567"/>
        <w:contextualSpacing/>
        <w:jc w:val="both"/>
        <w:rPr>
          <w:rFonts w:ascii="Arial" w:hAnsi="Arial" w:cs="Arial"/>
          <w:color w:val="000000"/>
        </w:rPr>
      </w:pPr>
    </w:p>
    <w:p w:rsidR="004A27DE" w:rsidRPr="00230DB2" w:rsidRDefault="004A27DE" w:rsidP="004A27DE">
      <w:pPr>
        <w:pStyle w:val="Prrafodelista"/>
        <w:autoSpaceDE w:val="0"/>
        <w:autoSpaceDN w:val="0"/>
        <w:adjustRightInd w:val="0"/>
        <w:spacing w:after="0" w:line="240" w:lineRule="auto"/>
        <w:ind w:left="567"/>
        <w:jc w:val="both"/>
        <w:rPr>
          <w:rFonts w:ascii="Arial" w:hAnsi="Arial" w:cs="Arial"/>
          <w:sz w:val="24"/>
          <w:szCs w:val="24"/>
        </w:rPr>
      </w:pPr>
      <w:r w:rsidRPr="00230DB2">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4A27DE" w:rsidRPr="00230DB2" w:rsidRDefault="004A27DE" w:rsidP="004A27DE">
      <w:pPr>
        <w:pStyle w:val="Prrafodelista"/>
        <w:autoSpaceDE w:val="0"/>
        <w:autoSpaceDN w:val="0"/>
        <w:adjustRightInd w:val="0"/>
        <w:spacing w:after="0" w:line="240" w:lineRule="auto"/>
        <w:ind w:left="567"/>
        <w:jc w:val="both"/>
        <w:rPr>
          <w:rFonts w:ascii="Arial" w:hAnsi="Arial" w:cs="Arial"/>
          <w:sz w:val="24"/>
          <w:szCs w:val="24"/>
        </w:rPr>
      </w:pPr>
    </w:p>
    <w:p w:rsidR="004A27DE" w:rsidRPr="00230DB2" w:rsidRDefault="004A27DE" w:rsidP="004A27DE">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230DB2">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4A27DE" w:rsidRPr="00230DB2" w:rsidRDefault="004A27DE" w:rsidP="004A27DE">
      <w:pPr>
        <w:autoSpaceDE w:val="0"/>
        <w:autoSpaceDN w:val="0"/>
        <w:adjustRightInd w:val="0"/>
        <w:jc w:val="both"/>
        <w:rPr>
          <w:rFonts w:ascii="Arial" w:hAnsi="Arial" w:cs="Arial"/>
          <w:b/>
          <w:i/>
          <w:color w:val="000000"/>
        </w:rPr>
      </w:pPr>
    </w:p>
    <w:p w:rsidR="004A27DE" w:rsidRPr="00230DB2" w:rsidRDefault="004A27DE" w:rsidP="004A27DE">
      <w:pPr>
        <w:numPr>
          <w:ilvl w:val="0"/>
          <w:numId w:val="2"/>
        </w:numPr>
        <w:ind w:left="567" w:hanging="567"/>
        <w:jc w:val="both"/>
        <w:rPr>
          <w:rFonts w:ascii="Arial" w:hAnsi="Arial" w:cs="Arial"/>
          <w:color w:val="000000"/>
        </w:rPr>
      </w:pPr>
      <w:r w:rsidRPr="00230DB2">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4A27DE" w:rsidRPr="00230DB2" w:rsidRDefault="004A27DE" w:rsidP="004A27DE">
      <w:pPr>
        <w:autoSpaceDE w:val="0"/>
        <w:autoSpaceDN w:val="0"/>
        <w:adjustRightInd w:val="0"/>
        <w:jc w:val="both"/>
        <w:rPr>
          <w:rFonts w:ascii="Arial" w:hAnsi="Arial" w:cs="Arial"/>
          <w:b/>
          <w:i/>
          <w:color w:val="000000"/>
        </w:rPr>
      </w:pPr>
    </w:p>
    <w:p w:rsidR="004A27DE" w:rsidRPr="00230DB2" w:rsidRDefault="004A27DE" w:rsidP="004A27DE">
      <w:pPr>
        <w:jc w:val="both"/>
        <w:rPr>
          <w:rFonts w:ascii="Arial" w:hAnsi="Arial" w:cs="Arial"/>
          <w:b/>
        </w:rPr>
      </w:pPr>
      <w:r w:rsidRPr="00230DB2">
        <w:rPr>
          <w:rFonts w:ascii="Arial" w:hAnsi="Arial" w:cs="Arial"/>
          <w:b/>
        </w:rPr>
        <w:t>Reglas aplicables para el diseño de los modelos de pauta, de acuerdo con la normativa aplicable</w:t>
      </w:r>
    </w:p>
    <w:p w:rsidR="004A27DE" w:rsidRPr="00230DB2" w:rsidRDefault="004A27DE" w:rsidP="004A27DE">
      <w:pPr>
        <w:pStyle w:val="Prrafodelista"/>
        <w:autoSpaceDE w:val="0"/>
        <w:autoSpaceDN w:val="0"/>
        <w:adjustRightInd w:val="0"/>
        <w:spacing w:after="0" w:line="240" w:lineRule="auto"/>
        <w:ind w:left="567"/>
        <w:jc w:val="both"/>
        <w:rPr>
          <w:rFonts w:ascii="Arial" w:hAnsi="Arial" w:cs="Arial"/>
          <w:color w:val="000000"/>
          <w:sz w:val="24"/>
          <w:szCs w:val="24"/>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 xml:space="preserve">Como lo señalan los artículos 167 numerales 1, 4 y 5, de la Ley General de Instituciones y Procedimientos Electorales en relación con el 15, numerales 1 y 2 del Reglamento de mérito, el tiempo establecido como derecho de los partidos políticos se distribuirá entre los mismos conforme a lo siguiente: el treinta por ciento en forma igualitaria y el otro setenta por ciento de acuerdo a los resultados de la elección para diputados locales o federales de mayoría relativa, según sea el caso, </w:t>
      </w:r>
      <w:r w:rsidRPr="00230DB2">
        <w:rPr>
          <w:rFonts w:ascii="Arial" w:hAnsi="Arial" w:cs="Arial"/>
        </w:rPr>
        <w:lastRenderedPageBreak/>
        <w:t>inmediata anterior; en lo que respecta a los tiempos disponibles para la precampaña y campaña.</w:t>
      </w:r>
    </w:p>
    <w:p w:rsidR="004A27DE" w:rsidRPr="00230DB2" w:rsidRDefault="004A27DE" w:rsidP="004A27DE">
      <w:pPr>
        <w:pStyle w:val="Prrafodelista"/>
        <w:autoSpaceDE w:val="0"/>
        <w:autoSpaceDN w:val="0"/>
        <w:adjustRightInd w:val="0"/>
        <w:spacing w:line="240" w:lineRule="auto"/>
        <w:ind w:left="709" w:hanging="709"/>
        <w:jc w:val="both"/>
        <w:rPr>
          <w:rFonts w:ascii="Arial" w:hAnsi="Arial" w:cs="Arial"/>
          <w:sz w:val="24"/>
          <w:szCs w:val="24"/>
        </w:rPr>
      </w:pPr>
    </w:p>
    <w:p w:rsidR="004A27DE" w:rsidRPr="00230DB2" w:rsidRDefault="004A27DE" w:rsidP="004A27DE">
      <w:pPr>
        <w:pStyle w:val="Prrafodelista"/>
        <w:autoSpaceDE w:val="0"/>
        <w:autoSpaceDN w:val="0"/>
        <w:adjustRightInd w:val="0"/>
        <w:spacing w:line="240" w:lineRule="auto"/>
        <w:ind w:left="567" w:hanging="567"/>
        <w:jc w:val="both"/>
        <w:rPr>
          <w:rFonts w:ascii="Arial" w:hAnsi="Arial" w:cs="Arial"/>
          <w:sz w:val="24"/>
          <w:szCs w:val="24"/>
        </w:rPr>
      </w:pPr>
      <w:r w:rsidRPr="00230DB2">
        <w:rPr>
          <w:rFonts w:ascii="Arial" w:hAnsi="Arial" w:cs="Arial"/>
          <w:sz w:val="24"/>
          <w:szCs w:val="24"/>
        </w:rPr>
        <w:tab/>
        <w:t xml:space="preserve">Los partidos políticos de nuevo registro participarán solamente en la distribución del treinta por ciento igualitario. </w:t>
      </w:r>
    </w:p>
    <w:p w:rsidR="004A27DE" w:rsidRPr="00230DB2" w:rsidRDefault="004A27DE" w:rsidP="004A27DE">
      <w:pPr>
        <w:pStyle w:val="Prrafodelista"/>
        <w:autoSpaceDE w:val="0"/>
        <w:autoSpaceDN w:val="0"/>
        <w:adjustRightInd w:val="0"/>
        <w:spacing w:after="0" w:line="240" w:lineRule="auto"/>
        <w:ind w:left="709" w:hanging="709"/>
        <w:jc w:val="both"/>
        <w:rPr>
          <w:rFonts w:ascii="Arial" w:hAnsi="Arial" w:cs="Arial"/>
          <w:sz w:val="24"/>
          <w:szCs w:val="24"/>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4A27DE" w:rsidRPr="00230DB2" w:rsidRDefault="004A27DE" w:rsidP="004A27DE">
      <w:pPr>
        <w:autoSpaceDE w:val="0"/>
        <w:autoSpaceDN w:val="0"/>
        <w:adjustRightInd w:val="0"/>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4A27DE" w:rsidRPr="00230DB2" w:rsidRDefault="004A27DE" w:rsidP="004A27DE">
      <w:pPr>
        <w:pStyle w:val="Prrafodelista"/>
        <w:autoSpaceDE w:val="0"/>
        <w:autoSpaceDN w:val="0"/>
        <w:adjustRightInd w:val="0"/>
        <w:spacing w:after="0" w:line="240" w:lineRule="auto"/>
        <w:ind w:left="709" w:hanging="709"/>
        <w:rPr>
          <w:rFonts w:cs="Arial"/>
          <w:color w:val="000000"/>
        </w:rPr>
      </w:pPr>
    </w:p>
    <w:p w:rsidR="004A27DE" w:rsidRPr="00230DB2" w:rsidRDefault="004A27DE" w:rsidP="004A27DE">
      <w:pPr>
        <w:numPr>
          <w:ilvl w:val="0"/>
          <w:numId w:val="2"/>
        </w:numPr>
        <w:ind w:left="567" w:hanging="567"/>
        <w:jc w:val="both"/>
        <w:rPr>
          <w:rFonts w:ascii="Arial" w:hAnsi="Arial" w:cs="Arial"/>
          <w:spacing w:val="-2"/>
        </w:rPr>
      </w:pPr>
      <w:r w:rsidRPr="00230DB2">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4A27DE" w:rsidRPr="00230DB2" w:rsidRDefault="004A27DE" w:rsidP="004A27DE">
      <w:pPr>
        <w:ind w:left="709" w:hanging="709"/>
        <w:jc w:val="both"/>
        <w:rPr>
          <w:rFonts w:ascii="Arial" w:hAnsi="Arial" w:cs="Arial"/>
        </w:rPr>
      </w:pPr>
    </w:p>
    <w:p w:rsidR="004A27DE" w:rsidRPr="00230DB2" w:rsidRDefault="004A27DE" w:rsidP="004A27DE">
      <w:pPr>
        <w:ind w:left="567"/>
        <w:jc w:val="both"/>
        <w:rPr>
          <w:rFonts w:ascii="Arial" w:hAnsi="Arial" w:cs="Arial"/>
        </w:rPr>
      </w:pPr>
      <w:r w:rsidRPr="00230DB2">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4A27DE" w:rsidRPr="00230DB2" w:rsidRDefault="004A27DE" w:rsidP="004A27DE">
      <w:pPr>
        <w:jc w:val="both"/>
        <w:rPr>
          <w:rFonts w:ascii="Arial" w:hAnsi="Arial" w:cs="Arial"/>
        </w:rPr>
      </w:pPr>
    </w:p>
    <w:p w:rsidR="004A27DE" w:rsidRDefault="004A27DE" w:rsidP="004A27DE">
      <w:pPr>
        <w:numPr>
          <w:ilvl w:val="0"/>
          <w:numId w:val="2"/>
        </w:numPr>
        <w:ind w:left="567" w:hanging="567"/>
        <w:jc w:val="both"/>
        <w:rPr>
          <w:rFonts w:ascii="Arial" w:hAnsi="Arial" w:cs="Arial"/>
        </w:rPr>
      </w:pPr>
      <w:r w:rsidRPr="00230DB2">
        <w:rPr>
          <w:rFonts w:ascii="Arial" w:hAnsi="Arial" w:cs="Arial"/>
        </w:rPr>
        <w:t>El porcentaje de los resultados de la última elección de diputados locales por el principio de mayoría relativa en el estado de Tamaulipas, fue la siguiente</w:t>
      </w:r>
      <w:r w:rsidRPr="00D11FC5">
        <w:rPr>
          <w:rFonts w:ascii="Arial" w:hAnsi="Arial" w:cs="Arial"/>
        </w:rPr>
        <w:t>:</w:t>
      </w:r>
    </w:p>
    <w:p w:rsidR="004A27DE" w:rsidRDefault="004A27DE" w:rsidP="004A27DE">
      <w:pPr>
        <w:ind w:left="567"/>
        <w:jc w:val="both"/>
        <w:rPr>
          <w:rFonts w:ascii="Arial" w:hAnsi="Arial" w:cs="Arial"/>
        </w:rPr>
      </w:pPr>
    </w:p>
    <w:p w:rsidR="0089119A" w:rsidRPr="00D11FC5" w:rsidRDefault="0089119A" w:rsidP="004A27DE">
      <w:pPr>
        <w:ind w:left="567"/>
        <w:jc w:val="both"/>
        <w:rPr>
          <w:rFonts w:ascii="Arial" w:hAnsi="Arial" w:cs="Arial"/>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4A27DE" w:rsidRPr="003A3262" w:rsidTr="00497B11">
        <w:trPr>
          <w:trHeight w:val="945"/>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4A27DE" w:rsidRPr="003A3262" w:rsidRDefault="004A27DE" w:rsidP="00497B11">
            <w:pPr>
              <w:jc w:val="center"/>
              <w:rPr>
                <w:rFonts w:ascii="Arial" w:hAnsi="Arial" w:cs="Arial"/>
                <w:b/>
                <w:bCs/>
                <w:color w:val="FFFFFF"/>
                <w:sz w:val="20"/>
                <w:szCs w:val="20"/>
                <w:lang w:val="es-MX" w:eastAsia="es-MX"/>
              </w:rPr>
            </w:pPr>
            <w:r w:rsidRPr="003A3262">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4A27DE" w:rsidRPr="003A3262" w:rsidRDefault="004A27DE" w:rsidP="00497B11">
            <w:pPr>
              <w:jc w:val="center"/>
              <w:rPr>
                <w:rFonts w:ascii="Arial" w:hAnsi="Arial" w:cs="Arial"/>
                <w:b/>
                <w:bCs/>
                <w:sz w:val="20"/>
                <w:szCs w:val="20"/>
                <w:lang w:val="es-MX" w:eastAsia="es-MX"/>
              </w:rPr>
            </w:pPr>
            <w:r w:rsidRPr="003A3262">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4A27DE" w:rsidRPr="003A3262" w:rsidRDefault="004A27DE" w:rsidP="00497B11">
            <w:pPr>
              <w:jc w:val="center"/>
              <w:rPr>
                <w:rFonts w:ascii="Arial" w:hAnsi="Arial" w:cs="Arial"/>
                <w:b/>
                <w:bCs/>
                <w:sz w:val="20"/>
                <w:szCs w:val="20"/>
                <w:lang w:val="es-MX" w:eastAsia="es-MX"/>
              </w:rPr>
            </w:pPr>
            <w:r w:rsidRPr="003A3262">
              <w:rPr>
                <w:rFonts w:ascii="Arial" w:hAnsi="Arial" w:cs="Arial"/>
                <w:b/>
                <w:bCs/>
                <w:sz w:val="20"/>
                <w:szCs w:val="20"/>
                <w:lang w:val="es-MX" w:eastAsia="es-MX"/>
              </w:rPr>
              <w:t>Porcentaje</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44.79%</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32.50%</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2.40%</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F2F2F2"/>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3.01%</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Partido del Trabajo</w:t>
            </w:r>
          </w:p>
        </w:tc>
        <w:tc>
          <w:tcPr>
            <w:tcW w:w="2180" w:type="dxa"/>
            <w:tcBorders>
              <w:top w:val="nil"/>
              <w:left w:val="nil"/>
              <w:bottom w:val="single" w:sz="4" w:space="0" w:color="auto"/>
              <w:right w:val="single" w:sz="4" w:space="0" w:color="auto"/>
            </w:tcBorders>
            <w:shd w:val="clear" w:color="000000" w:fill="D9D9D9"/>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1.05%</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Movimiento Ciudadano</w:t>
            </w:r>
          </w:p>
        </w:tc>
        <w:tc>
          <w:tcPr>
            <w:tcW w:w="2180" w:type="dxa"/>
            <w:tcBorders>
              <w:top w:val="nil"/>
              <w:left w:val="nil"/>
              <w:bottom w:val="single" w:sz="4" w:space="0" w:color="auto"/>
              <w:right w:val="single" w:sz="4" w:space="0" w:color="auto"/>
            </w:tcBorders>
            <w:shd w:val="clear" w:color="000000" w:fill="F2F2F2"/>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5.42%</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D9D9D9"/>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4.02%</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4A27DE" w:rsidRPr="003A3262" w:rsidRDefault="0089119A" w:rsidP="00497B11">
            <w:pPr>
              <w:jc w:val="center"/>
              <w:rPr>
                <w:rFonts w:ascii="Arial" w:hAnsi="Arial" w:cs="Arial"/>
                <w:color w:val="000000"/>
                <w:sz w:val="20"/>
                <w:szCs w:val="20"/>
                <w:lang w:val="es-MX" w:eastAsia="es-MX"/>
              </w:rPr>
            </w:pPr>
            <w:r>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F2F2F2"/>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4.16%</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Encuentro Social</w:t>
            </w:r>
          </w:p>
        </w:tc>
        <w:tc>
          <w:tcPr>
            <w:tcW w:w="2180" w:type="dxa"/>
            <w:tcBorders>
              <w:top w:val="nil"/>
              <w:left w:val="nil"/>
              <w:bottom w:val="single" w:sz="4" w:space="0" w:color="auto"/>
              <w:right w:val="single" w:sz="4" w:space="0" w:color="auto"/>
            </w:tcBorders>
            <w:shd w:val="clear" w:color="000000" w:fill="D9D9D9"/>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2.65%</w:t>
            </w:r>
          </w:p>
        </w:tc>
      </w:tr>
      <w:tr w:rsidR="004A27DE" w:rsidRPr="003A3262" w:rsidTr="00497B11">
        <w:trPr>
          <w:trHeight w:val="522"/>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4A27DE" w:rsidRPr="003A3262" w:rsidRDefault="004A27DE" w:rsidP="00497B11">
            <w:pPr>
              <w:jc w:val="center"/>
              <w:rPr>
                <w:rFonts w:ascii="Arial" w:hAnsi="Arial" w:cs="Arial"/>
                <w:color w:val="000000"/>
                <w:sz w:val="20"/>
                <w:szCs w:val="20"/>
                <w:lang w:val="es-MX" w:eastAsia="es-MX"/>
              </w:rPr>
            </w:pPr>
            <w:r w:rsidRPr="003A3262">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F2F2F2"/>
            <w:noWrap/>
            <w:vAlign w:val="center"/>
            <w:hideMark/>
          </w:tcPr>
          <w:p w:rsidR="004A27DE" w:rsidRPr="003A3262" w:rsidRDefault="004A27DE" w:rsidP="00497B11">
            <w:pPr>
              <w:jc w:val="center"/>
              <w:rPr>
                <w:rFonts w:ascii="Calibri" w:hAnsi="Calibri"/>
                <w:color w:val="000000"/>
                <w:sz w:val="22"/>
                <w:szCs w:val="22"/>
                <w:lang w:val="es-MX" w:eastAsia="es-MX"/>
              </w:rPr>
            </w:pPr>
            <w:r w:rsidRPr="003A3262">
              <w:rPr>
                <w:rFonts w:ascii="Calibri" w:hAnsi="Calibri"/>
                <w:color w:val="000000"/>
                <w:sz w:val="22"/>
                <w:szCs w:val="22"/>
                <w:lang w:val="es-MX" w:eastAsia="es-MX"/>
              </w:rPr>
              <w:t>100%</w:t>
            </w:r>
          </w:p>
        </w:tc>
      </w:tr>
    </w:tbl>
    <w:p w:rsidR="004A27DE" w:rsidRPr="00D11FC5" w:rsidRDefault="004A27DE" w:rsidP="004A27DE">
      <w:pPr>
        <w:ind w:left="360" w:hanging="360"/>
        <w:jc w:val="center"/>
        <w:rPr>
          <w:rFonts w:ascii="Arial" w:hAnsi="Arial" w:cs="Arial"/>
          <w:b/>
          <w:bCs/>
          <w:sz w:val="20"/>
          <w:szCs w:val="20"/>
        </w:rPr>
      </w:pPr>
    </w:p>
    <w:p w:rsidR="004A27DE" w:rsidRPr="00D11FC5" w:rsidRDefault="004A27DE" w:rsidP="004A27DE">
      <w:pPr>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Se encuentran en este supuesto los partidos de la Revolución Democrática, del Trabajo y Encuentro Social.</w:t>
      </w:r>
    </w:p>
    <w:p w:rsidR="004A27DE" w:rsidRPr="00230DB2" w:rsidRDefault="004A27DE" w:rsidP="004A27DE">
      <w:pPr>
        <w:jc w:val="both"/>
        <w:rPr>
          <w:rFonts w:ascii="Arial" w:hAnsi="Arial" w:cs="Arial"/>
        </w:rPr>
      </w:pPr>
    </w:p>
    <w:p w:rsidR="004A27DE" w:rsidRPr="00D11FC5" w:rsidRDefault="004A27DE" w:rsidP="004A27DE">
      <w:pPr>
        <w:numPr>
          <w:ilvl w:val="0"/>
          <w:numId w:val="2"/>
        </w:numPr>
        <w:ind w:left="567" w:hanging="567"/>
        <w:jc w:val="both"/>
        <w:rPr>
          <w:rFonts w:ascii="Arial" w:hAnsi="Arial" w:cs="Arial"/>
        </w:rPr>
      </w:pPr>
      <w:r w:rsidRPr="00230DB2">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esquema de asignación que se apruebe para tal efecto. Los resultados del sorteo en el que constan los horarios en que se distribuirán los promocionales de partidos políticos</w:t>
      </w:r>
      <w:r w:rsidRPr="00D11FC5">
        <w:rPr>
          <w:rFonts w:ascii="Arial" w:hAnsi="Arial" w:cs="Arial"/>
        </w:rPr>
        <w:t xml:space="preserve"> y autoridades se anexan al presente y se detallan a continuación: </w:t>
      </w:r>
    </w:p>
    <w:p w:rsidR="004A27DE" w:rsidRPr="00D11FC5" w:rsidRDefault="004A27DE" w:rsidP="004A27DE">
      <w:pPr>
        <w:ind w:left="567"/>
        <w:jc w:val="both"/>
        <w:rPr>
          <w:rFonts w:ascii="Arial" w:hAnsi="Arial" w:cs="Arial"/>
        </w:rPr>
      </w:pPr>
    </w:p>
    <w:p w:rsidR="004A27DE" w:rsidRPr="00D11FC5" w:rsidRDefault="004A27DE" w:rsidP="004A27DE">
      <w:pPr>
        <w:ind w:left="567"/>
        <w:jc w:val="center"/>
        <w:rPr>
          <w:rFonts w:ascii="Arial" w:hAnsi="Arial" w:cs="Arial"/>
        </w:rPr>
      </w:pPr>
      <w:r w:rsidRPr="00D11FC5">
        <w:rPr>
          <w:rFonts w:ascii="Arial" w:hAnsi="Arial" w:cs="Arial"/>
          <w:noProof/>
          <w:lang w:val="es-MX" w:eastAsia="es-MX"/>
        </w:rPr>
        <w:drawing>
          <wp:inline distT="0" distB="0" distL="0" distR="0" wp14:anchorId="1498E82B" wp14:editId="490F6647">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6ED39585" wp14:editId="461C0674">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4A27DE" w:rsidRPr="00D11FC5" w:rsidRDefault="004A27DE" w:rsidP="004A27DE">
      <w:pPr>
        <w:ind w:left="567"/>
        <w:jc w:val="both"/>
        <w:rPr>
          <w:rFonts w:ascii="Arial" w:hAnsi="Arial" w:cs="Arial"/>
        </w:rPr>
      </w:pPr>
    </w:p>
    <w:p w:rsidR="004A27DE" w:rsidRPr="00D11FC5" w:rsidRDefault="004A27DE" w:rsidP="004A27DE">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4A27DE" w:rsidRPr="00D11FC5" w:rsidRDefault="004A27DE" w:rsidP="004A27DE">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4A27DE" w:rsidRPr="0036368F" w:rsidTr="00497B11">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4A27DE" w:rsidRPr="0036368F" w:rsidRDefault="004A27DE" w:rsidP="00497B11">
            <w:pPr>
              <w:jc w:val="center"/>
              <w:rPr>
                <w:rFonts w:ascii="Arial" w:hAnsi="Arial" w:cs="Arial"/>
                <w:b/>
                <w:bCs/>
                <w:color w:val="FFFFFF"/>
                <w:sz w:val="20"/>
                <w:szCs w:val="20"/>
                <w:lang w:val="es-MX" w:eastAsia="es-MX"/>
              </w:rPr>
            </w:pPr>
            <w:r w:rsidRPr="0036368F">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4A27DE" w:rsidRPr="0036368F" w:rsidRDefault="004A27DE" w:rsidP="00497B11">
            <w:pPr>
              <w:jc w:val="center"/>
              <w:rPr>
                <w:rFonts w:ascii="Arial" w:hAnsi="Arial" w:cs="Arial"/>
                <w:b/>
                <w:bCs/>
                <w:color w:val="FFFFFF"/>
                <w:sz w:val="20"/>
                <w:szCs w:val="20"/>
                <w:lang w:val="es-MX" w:eastAsia="es-MX"/>
              </w:rPr>
            </w:pPr>
            <w:r w:rsidRPr="0036368F">
              <w:rPr>
                <w:rFonts w:ascii="Arial" w:hAnsi="Arial" w:cs="Arial"/>
                <w:b/>
                <w:bCs/>
                <w:color w:val="FFFFFF"/>
                <w:sz w:val="20"/>
                <w:szCs w:val="20"/>
                <w:lang w:val="es-MX" w:eastAsia="es-MX"/>
              </w:rPr>
              <w:t>Partido Político</w:t>
            </w:r>
          </w:p>
        </w:tc>
      </w:tr>
      <w:tr w:rsidR="004A27DE" w:rsidRPr="0036368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Partido Verde Ecologista de México</w:t>
            </w:r>
          </w:p>
        </w:tc>
      </w:tr>
      <w:tr w:rsidR="004A27DE" w:rsidRPr="0036368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 xml:space="preserve">Partido de la Revolución Democrática </w:t>
            </w:r>
          </w:p>
        </w:tc>
      </w:tr>
      <w:tr w:rsidR="004A27DE" w:rsidRPr="0036368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Movimiento Ciudadano</w:t>
            </w:r>
          </w:p>
        </w:tc>
      </w:tr>
      <w:tr w:rsidR="004A27DE" w:rsidRPr="0036368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Morena</w:t>
            </w:r>
          </w:p>
        </w:tc>
      </w:tr>
      <w:tr w:rsidR="004A27DE" w:rsidRPr="0036368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Partido del Trabajo</w:t>
            </w:r>
          </w:p>
        </w:tc>
      </w:tr>
      <w:tr w:rsidR="004A27DE" w:rsidRPr="0036368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Partido Revolucionario Institucional</w:t>
            </w:r>
          </w:p>
        </w:tc>
      </w:tr>
      <w:tr w:rsidR="004A27DE" w:rsidRPr="0036368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Nueva Alianza</w:t>
            </w:r>
          </w:p>
        </w:tc>
      </w:tr>
      <w:tr w:rsidR="004A27DE" w:rsidRPr="0036368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Encuentro Social</w:t>
            </w:r>
          </w:p>
        </w:tc>
      </w:tr>
      <w:tr w:rsidR="004A27DE" w:rsidRPr="0036368F" w:rsidTr="00497B11">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4A27DE" w:rsidRPr="0036368F" w:rsidRDefault="004A27DE" w:rsidP="00497B11">
            <w:pPr>
              <w:jc w:val="center"/>
              <w:rPr>
                <w:rFonts w:ascii="Arial" w:hAnsi="Arial" w:cs="Arial"/>
                <w:color w:val="000000"/>
                <w:sz w:val="20"/>
                <w:szCs w:val="20"/>
                <w:lang w:val="es-MX" w:eastAsia="es-MX"/>
              </w:rPr>
            </w:pPr>
            <w:r w:rsidRPr="0036368F">
              <w:rPr>
                <w:rFonts w:ascii="Arial" w:hAnsi="Arial" w:cs="Arial"/>
                <w:color w:val="000000"/>
                <w:sz w:val="20"/>
                <w:szCs w:val="20"/>
                <w:lang w:val="es-MX" w:eastAsia="es-MX"/>
              </w:rPr>
              <w:t>Partido Acción Nacional</w:t>
            </w:r>
          </w:p>
        </w:tc>
      </w:tr>
    </w:tbl>
    <w:p w:rsidR="004A27DE" w:rsidRPr="00D11FC5" w:rsidRDefault="004A27DE" w:rsidP="004A27DE">
      <w:pPr>
        <w:ind w:left="567"/>
        <w:jc w:val="both"/>
        <w:rPr>
          <w:rFonts w:ascii="Arial" w:hAnsi="Arial" w:cs="Arial"/>
        </w:rPr>
      </w:pPr>
    </w:p>
    <w:p w:rsidR="004A27DE" w:rsidRPr="00D11FC5" w:rsidRDefault="004A27DE" w:rsidP="004A27DE">
      <w:pPr>
        <w:ind w:left="567"/>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 xml:space="preserve">El veintiocho de junio de dos mil diecisiete, la Comisión de Prerrogativas del Instituto Electoral de Tamaulipas, llevó a cabo una reunión de trabajo con el objetivo de determinar que el orden de asignación de los mensajes de los partidos políticos en las pautas sea conforme a su fecha de registro. </w:t>
      </w:r>
    </w:p>
    <w:p w:rsidR="004A27DE" w:rsidRPr="00230DB2" w:rsidRDefault="004A27DE" w:rsidP="004A27DE">
      <w:pPr>
        <w:ind w:left="567"/>
        <w:jc w:val="both"/>
        <w:rPr>
          <w:rFonts w:ascii="Arial" w:hAnsi="Arial" w:cs="Arial"/>
        </w:rPr>
      </w:pPr>
      <w:r w:rsidRPr="00230DB2">
        <w:rPr>
          <w:rFonts w:ascii="Arial" w:hAnsi="Arial" w:cs="Arial"/>
        </w:rPr>
        <w:t xml:space="preserve"> </w:t>
      </w:r>
    </w:p>
    <w:p w:rsidR="004A27DE" w:rsidRPr="00230DB2" w:rsidRDefault="004A27DE" w:rsidP="004A27DE">
      <w:pPr>
        <w:ind w:left="567"/>
        <w:jc w:val="both"/>
        <w:rPr>
          <w:rFonts w:ascii="Arial" w:hAnsi="Arial" w:cs="Arial"/>
        </w:rPr>
      </w:pPr>
      <w:r w:rsidRPr="00230DB2">
        <w:rPr>
          <w:rFonts w:ascii="Arial" w:hAnsi="Arial" w:cs="Arial"/>
        </w:rPr>
        <w:t>No obstante lo anterior, toda vez que, atendiendo a lo señalado en el artículo 17 del reglamento de la materia, la única forma prevista para la distribución de los promocionales dentro de la pauta es con base en un sorteo para definir el orden de aparición, atendiendo a la atribución conferida en el artículo 6, numeral 2, inciso b) del propio reglamento, se determina modificar el modelo de distribución propuesto por el Instituto Electoral de Tamaulipas para tomar en cuenta los resultados del sorteo señalado en el considerando anterior.</w:t>
      </w:r>
    </w:p>
    <w:p w:rsidR="004A27DE" w:rsidRPr="00230DB2" w:rsidRDefault="004A27DE" w:rsidP="004A27DE">
      <w:pPr>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 xml:space="preserve">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w:t>
      </w:r>
      <w:r w:rsidRPr="00230DB2">
        <w:rPr>
          <w:rFonts w:ascii="Arial" w:hAnsi="Arial" w:cs="Arial"/>
        </w:rPr>
        <w:lastRenderedPageBreak/>
        <w:t>tiempos que por este instrumento se asignan, quedará a disposición del Instituto Nacional Electoral, de conformidad con lo establecido en el artículo 43, numeral 13, del reglamento de la materia.</w:t>
      </w:r>
    </w:p>
    <w:p w:rsidR="004A27DE" w:rsidRPr="00230DB2" w:rsidRDefault="004A27DE" w:rsidP="004A27DE">
      <w:pPr>
        <w:ind w:left="567"/>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En virtud de lo anterior, adjunto al Acuerdo, se presentan las pautas específicas que corresponden al periodo de precampaña local y federal que se llevarán a cabo en el estado de Tamaulipas.</w:t>
      </w:r>
    </w:p>
    <w:p w:rsidR="004A27DE" w:rsidRPr="00230DB2" w:rsidRDefault="004A27DE" w:rsidP="004A27DE">
      <w:pPr>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En ese orden de ideas, la Dirección Ejecutiva de Prerrogativas y Partidos Políticos elaboró las pautas que se someten a aprobación de este Comité, atendiendo a lo siguiente:</w:t>
      </w:r>
    </w:p>
    <w:p w:rsidR="004A27DE" w:rsidRPr="00230DB2" w:rsidRDefault="004A27DE" w:rsidP="004A27DE">
      <w:pPr>
        <w:ind w:left="567"/>
        <w:jc w:val="both"/>
        <w:rPr>
          <w:rFonts w:ascii="Arial" w:hAnsi="Arial" w:cs="Arial"/>
        </w:rPr>
      </w:pPr>
    </w:p>
    <w:p w:rsidR="004A27DE" w:rsidRPr="00230DB2" w:rsidRDefault="004A27DE" w:rsidP="004A27DE">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230DB2">
        <w:rPr>
          <w:rFonts w:ascii="Arial" w:eastAsia="Times New Roman" w:hAnsi="Arial" w:cs="Arial"/>
          <w:sz w:val="24"/>
          <w:szCs w:val="24"/>
          <w:lang w:val="es-ES" w:eastAsia="es-ES"/>
        </w:rPr>
        <w:t>Las pautas abarcan las etapas de precampaña federal y del proceso electoral local a celebrarse en el estado de Tamaulipas.</w:t>
      </w:r>
    </w:p>
    <w:p w:rsidR="004A27DE" w:rsidRPr="00230DB2" w:rsidRDefault="004A27DE" w:rsidP="004A27DE">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4A27DE" w:rsidRPr="00230DB2" w:rsidRDefault="004A27DE" w:rsidP="004A27DE">
      <w:pPr>
        <w:tabs>
          <w:tab w:val="left" w:pos="0"/>
        </w:tabs>
        <w:ind w:left="1134" w:hanging="425"/>
        <w:jc w:val="both"/>
        <w:rPr>
          <w:rFonts w:ascii="Arial" w:hAnsi="Arial" w:cs="Arial"/>
        </w:rPr>
      </w:pPr>
      <w:r w:rsidRPr="00230DB2">
        <w:rPr>
          <w:rFonts w:ascii="Arial" w:hAnsi="Arial" w:cs="Arial"/>
        </w:rPr>
        <w:t xml:space="preserve">b) </w:t>
      </w:r>
      <w:r w:rsidRPr="00230DB2">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4A27DE" w:rsidRPr="00230DB2" w:rsidRDefault="004A27DE" w:rsidP="004A27DE">
      <w:pPr>
        <w:tabs>
          <w:tab w:val="left" w:pos="0"/>
        </w:tabs>
        <w:ind w:left="1134" w:hanging="425"/>
        <w:jc w:val="both"/>
        <w:rPr>
          <w:rFonts w:ascii="Arial" w:hAnsi="Arial" w:cs="Arial"/>
        </w:rPr>
      </w:pPr>
    </w:p>
    <w:p w:rsidR="004A27DE" w:rsidRPr="00230DB2" w:rsidRDefault="004A27DE" w:rsidP="004A27DE">
      <w:pPr>
        <w:tabs>
          <w:tab w:val="left" w:pos="0"/>
        </w:tabs>
        <w:ind w:left="1134" w:hanging="425"/>
        <w:jc w:val="both"/>
        <w:rPr>
          <w:rFonts w:ascii="Arial" w:hAnsi="Arial" w:cs="Arial"/>
          <w:color w:val="000000"/>
        </w:rPr>
      </w:pPr>
      <w:r w:rsidRPr="00230DB2">
        <w:rPr>
          <w:rFonts w:ascii="Arial" w:hAnsi="Arial" w:cs="Arial"/>
        </w:rPr>
        <w:t>c)</w:t>
      </w:r>
      <w:r w:rsidRPr="00230DB2">
        <w:rPr>
          <w:rFonts w:ascii="Arial" w:hAnsi="Arial" w:cs="Arial"/>
        </w:rPr>
        <w:tab/>
      </w:r>
      <w:r w:rsidRPr="00230DB2">
        <w:rPr>
          <w:rFonts w:ascii="Arial" w:hAnsi="Arial" w:cs="Arial"/>
          <w:color w:val="000000"/>
        </w:rPr>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4A27DE" w:rsidRPr="00230DB2" w:rsidRDefault="004A27DE" w:rsidP="004A27DE">
      <w:pPr>
        <w:tabs>
          <w:tab w:val="left" w:pos="0"/>
        </w:tabs>
        <w:jc w:val="both"/>
        <w:rPr>
          <w:rFonts w:ascii="Arial" w:hAnsi="Arial" w:cs="Arial"/>
        </w:rPr>
      </w:pPr>
    </w:p>
    <w:p w:rsidR="004A27DE" w:rsidRPr="00230DB2" w:rsidRDefault="004A27DE" w:rsidP="004A27DE">
      <w:pPr>
        <w:tabs>
          <w:tab w:val="left" w:pos="0"/>
        </w:tabs>
        <w:ind w:left="1134" w:hanging="425"/>
        <w:jc w:val="both"/>
        <w:rPr>
          <w:rFonts w:ascii="Arial" w:hAnsi="Arial" w:cs="Arial"/>
        </w:rPr>
      </w:pPr>
      <w:r w:rsidRPr="00230DB2">
        <w:rPr>
          <w:rFonts w:ascii="Arial" w:hAnsi="Arial" w:cs="Arial"/>
        </w:rPr>
        <w:t xml:space="preserve">d) </w:t>
      </w:r>
      <w:r w:rsidRPr="00230DB2">
        <w:rPr>
          <w:rFonts w:ascii="Arial" w:hAnsi="Arial" w:cs="Arial"/>
        </w:rPr>
        <w:tab/>
        <w:t>Los tiempos pautados para los partidos políticos suman un total de treinta minutos para precampaña.</w:t>
      </w:r>
    </w:p>
    <w:p w:rsidR="004A27DE" w:rsidRPr="00230DB2" w:rsidRDefault="004A27DE" w:rsidP="004A27DE">
      <w:pPr>
        <w:tabs>
          <w:tab w:val="left" w:pos="0"/>
        </w:tabs>
        <w:jc w:val="both"/>
        <w:rPr>
          <w:rFonts w:ascii="Arial" w:hAnsi="Arial" w:cs="Arial"/>
        </w:rPr>
      </w:pPr>
    </w:p>
    <w:p w:rsidR="004A27DE" w:rsidRPr="00230DB2" w:rsidRDefault="004A27DE" w:rsidP="004A27DE">
      <w:pPr>
        <w:tabs>
          <w:tab w:val="left" w:pos="0"/>
          <w:tab w:val="left" w:pos="3402"/>
        </w:tabs>
        <w:ind w:left="1134" w:hanging="425"/>
        <w:jc w:val="both"/>
        <w:rPr>
          <w:rFonts w:ascii="Arial" w:hAnsi="Arial" w:cs="Arial"/>
        </w:rPr>
      </w:pPr>
      <w:r w:rsidRPr="00230DB2">
        <w:rPr>
          <w:rFonts w:ascii="Arial" w:hAnsi="Arial" w:cs="Arial"/>
        </w:rPr>
        <w:t xml:space="preserve">e) </w:t>
      </w:r>
      <w:r w:rsidRPr="00230DB2">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4A27DE" w:rsidRPr="00230DB2" w:rsidRDefault="004A27DE" w:rsidP="004A27DE">
      <w:pPr>
        <w:tabs>
          <w:tab w:val="left" w:pos="0"/>
          <w:tab w:val="left" w:pos="3402"/>
        </w:tabs>
        <w:jc w:val="both"/>
        <w:rPr>
          <w:rFonts w:ascii="Arial" w:hAnsi="Arial" w:cs="Arial"/>
        </w:rPr>
      </w:pPr>
    </w:p>
    <w:p w:rsidR="004A27DE" w:rsidRPr="00230DB2" w:rsidRDefault="00575A41" w:rsidP="004A27DE">
      <w:pPr>
        <w:tabs>
          <w:tab w:val="left" w:pos="0"/>
        </w:tabs>
        <w:ind w:left="1134" w:hanging="425"/>
        <w:jc w:val="both"/>
        <w:rPr>
          <w:rFonts w:ascii="Arial" w:hAnsi="Arial" w:cs="Arial"/>
        </w:rPr>
      </w:pPr>
      <w:r w:rsidRPr="00230DB2">
        <w:rPr>
          <w:rFonts w:ascii="Arial" w:hAnsi="Arial" w:cs="Arial"/>
          <w:lang w:val="es-ES_tradnl"/>
        </w:rPr>
        <w:t>f</w:t>
      </w:r>
      <w:r w:rsidR="004A27DE" w:rsidRPr="00230DB2">
        <w:rPr>
          <w:rFonts w:ascii="Arial" w:hAnsi="Arial" w:cs="Arial"/>
          <w:lang w:val="es-ES_tradnl"/>
        </w:rPr>
        <w:t>)</w:t>
      </w:r>
      <w:r w:rsidR="004A27DE" w:rsidRPr="00230DB2">
        <w:rPr>
          <w:rFonts w:ascii="Arial" w:hAnsi="Arial" w:cs="Arial"/>
          <w:lang w:val="es-ES_tradnl"/>
        </w:rPr>
        <w:tab/>
      </w:r>
      <w:r w:rsidR="004A27DE" w:rsidRPr="00230DB2">
        <w:rPr>
          <w:rFonts w:ascii="Arial" w:hAnsi="Arial" w:cs="Arial"/>
        </w:rPr>
        <w:t>En la determinación del número de mensajes a distribuir la unidad de medida es de treinta segundos, sin fracciones.</w:t>
      </w:r>
    </w:p>
    <w:p w:rsidR="004A27DE" w:rsidRPr="00230DB2" w:rsidRDefault="004A27DE" w:rsidP="004A27DE">
      <w:pPr>
        <w:tabs>
          <w:tab w:val="left" w:pos="0"/>
        </w:tabs>
        <w:ind w:left="1134" w:hanging="425"/>
        <w:jc w:val="both"/>
        <w:rPr>
          <w:rFonts w:ascii="Arial" w:hAnsi="Arial" w:cs="Arial"/>
        </w:rPr>
      </w:pPr>
    </w:p>
    <w:p w:rsidR="004A27DE" w:rsidRPr="00230DB2" w:rsidRDefault="00575A41" w:rsidP="004A27DE">
      <w:pPr>
        <w:tabs>
          <w:tab w:val="left" w:pos="0"/>
        </w:tabs>
        <w:ind w:left="1134" w:hanging="425"/>
        <w:jc w:val="both"/>
        <w:rPr>
          <w:rFonts w:ascii="Arial" w:hAnsi="Arial" w:cs="Arial"/>
        </w:rPr>
      </w:pPr>
      <w:r w:rsidRPr="00230DB2">
        <w:rPr>
          <w:rFonts w:ascii="Arial" w:hAnsi="Arial" w:cs="Arial"/>
        </w:rPr>
        <w:t>g</w:t>
      </w:r>
      <w:r w:rsidR="004A27DE" w:rsidRPr="00230DB2">
        <w:rPr>
          <w:rFonts w:ascii="Arial" w:hAnsi="Arial" w:cs="Arial"/>
        </w:rPr>
        <w:t xml:space="preserve">) </w:t>
      </w:r>
      <w:r w:rsidR="004A27DE" w:rsidRPr="00230DB2">
        <w:rPr>
          <w:rFonts w:ascii="Arial" w:hAnsi="Arial" w:cs="Arial"/>
        </w:rPr>
        <w:tab/>
        <w:t>Las pautas establecen para cada mensaje la estación, el día y la hora en que debe transmitirse.</w:t>
      </w:r>
    </w:p>
    <w:p w:rsidR="004A27DE" w:rsidRPr="00230DB2" w:rsidRDefault="004A27DE" w:rsidP="004A27DE">
      <w:pPr>
        <w:tabs>
          <w:tab w:val="left" w:pos="0"/>
        </w:tabs>
        <w:ind w:left="1134" w:hanging="425"/>
        <w:jc w:val="both"/>
        <w:rPr>
          <w:rFonts w:ascii="Arial" w:hAnsi="Arial" w:cs="Arial"/>
        </w:rPr>
      </w:pPr>
    </w:p>
    <w:p w:rsidR="004A27DE" w:rsidRPr="00230DB2" w:rsidRDefault="00575A41" w:rsidP="004A27DE">
      <w:pPr>
        <w:tabs>
          <w:tab w:val="left" w:pos="0"/>
        </w:tabs>
        <w:ind w:left="1134" w:hanging="425"/>
        <w:jc w:val="both"/>
        <w:rPr>
          <w:rFonts w:ascii="Arial" w:hAnsi="Arial" w:cs="Arial"/>
        </w:rPr>
      </w:pPr>
      <w:r w:rsidRPr="00230DB2">
        <w:rPr>
          <w:rFonts w:ascii="Arial" w:hAnsi="Arial" w:cs="Arial"/>
        </w:rPr>
        <w:t>h</w:t>
      </w:r>
      <w:r w:rsidR="004A27DE" w:rsidRPr="00230DB2">
        <w:rPr>
          <w:rFonts w:ascii="Arial" w:hAnsi="Arial" w:cs="Arial"/>
        </w:rPr>
        <w:t>)</w:t>
      </w:r>
      <w:r w:rsidR="004A27DE" w:rsidRPr="00230DB2">
        <w:rPr>
          <w:rFonts w:ascii="Arial" w:hAnsi="Arial" w:cs="Arial"/>
        </w:rPr>
        <w:tab/>
        <w:t>Las fracciones sobrantes serán entregadas al Instituto Nacional Electoral.</w:t>
      </w:r>
    </w:p>
    <w:p w:rsidR="004A27DE" w:rsidRPr="00230DB2" w:rsidRDefault="004A27DE" w:rsidP="004A27DE">
      <w:pPr>
        <w:tabs>
          <w:tab w:val="left" w:pos="0"/>
        </w:tabs>
        <w:ind w:left="1134" w:hanging="425"/>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4A27DE" w:rsidRPr="00230DB2" w:rsidRDefault="004A27DE" w:rsidP="004A27DE">
      <w:pPr>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4A27DE" w:rsidRPr="00230DB2" w:rsidRDefault="004A27DE" w:rsidP="004A27DE">
      <w:pPr>
        <w:jc w:val="both"/>
        <w:rPr>
          <w:rFonts w:ascii="Arial" w:hAnsi="Arial" w:cs="Arial"/>
        </w:rPr>
      </w:pPr>
    </w:p>
    <w:p w:rsidR="004A27DE" w:rsidRPr="00230DB2" w:rsidRDefault="004A27DE" w:rsidP="004A27DE">
      <w:pPr>
        <w:jc w:val="both"/>
        <w:rPr>
          <w:rFonts w:ascii="Arial" w:hAnsi="Arial" w:cs="Arial"/>
          <w:b/>
        </w:rPr>
      </w:pPr>
      <w:r w:rsidRPr="00230DB2">
        <w:rPr>
          <w:rFonts w:ascii="Arial" w:hAnsi="Arial" w:cs="Arial"/>
          <w:b/>
        </w:rPr>
        <w:t>Reglas para notificación de pautas</w:t>
      </w:r>
    </w:p>
    <w:p w:rsidR="004A27DE" w:rsidRPr="00230DB2" w:rsidRDefault="004A27DE" w:rsidP="004A27DE">
      <w:pPr>
        <w:jc w:val="both"/>
        <w:rPr>
          <w:rFonts w:ascii="Arial" w:hAnsi="Arial" w:cs="Arial"/>
          <w:b/>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4A27DE" w:rsidRPr="00230DB2" w:rsidRDefault="004A27DE" w:rsidP="004A27DE">
      <w:pPr>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Como lo señala el artículo 6, numeral 5, incisos c) e i) del Reglamento de Radio y Televisión en Materia Electoral, son atribuciones de la Junta Local Ejecutiva en el estado de Tamaulipas, notificar las pautas a los concesionarios que corresponda en la entidad, así como fungir como autoridad auxiliar de los órganos competentes del Instituto para los actos y diligencias que les sean instruidos.</w:t>
      </w:r>
    </w:p>
    <w:p w:rsidR="004A27DE" w:rsidRPr="00230DB2" w:rsidRDefault="004A27DE" w:rsidP="004A27DE">
      <w:pPr>
        <w:ind w:left="567"/>
        <w:jc w:val="both"/>
        <w:rPr>
          <w:rFonts w:ascii="Arial" w:hAnsi="Arial" w:cs="Arial"/>
        </w:rPr>
      </w:pPr>
    </w:p>
    <w:p w:rsidR="004A27DE" w:rsidRPr="00230DB2" w:rsidRDefault="004A27DE" w:rsidP="004A27DE">
      <w:pPr>
        <w:ind w:left="567"/>
        <w:jc w:val="both"/>
        <w:rPr>
          <w:rFonts w:ascii="Arial" w:hAnsi="Arial" w:cs="Arial"/>
        </w:rPr>
      </w:pPr>
    </w:p>
    <w:p w:rsidR="004A27DE" w:rsidRPr="00230DB2" w:rsidRDefault="004A27DE" w:rsidP="004A27DE">
      <w:pPr>
        <w:autoSpaceDE w:val="0"/>
        <w:autoSpaceDN w:val="0"/>
        <w:adjustRightInd w:val="0"/>
        <w:contextualSpacing/>
        <w:jc w:val="both"/>
        <w:rPr>
          <w:rFonts w:ascii="Arial" w:hAnsi="Arial" w:cs="Arial"/>
          <w:b/>
        </w:rPr>
      </w:pPr>
      <w:r w:rsidRPr="00230DB2">
        <w:rPr>
          <w:rFonts w:ascii="Arial" w:hAnsi="Arial" w:cs="Arial"/>
          <w:b/>
        </w:rPr>
        <w:t>Entrega de órdenes de transmisión y materiales</w:t>
      </w:r>
    </w:p>
    <w:p w:rsidR="004A27DE" w:rsidRPr="00230DB2" w:rsidRDefault="004A27DE" w:rsidP="004A27DE">
      <w:pPr>
        <w:ind w:left="567" w:hanging="567"/>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4A27DE" w:rsidRPr="00230DB2" w:rsidRDefault="004A27DE" w:rsidP="004A27DE">
      <w:pPr>
        <w:ind w:left="567" w:hanging="567"/>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4A27DE" w:rsidRPr="00230DB2" w:rsidRDefault="004A27DE" w:rsidP="004A27DE">
      <w:pPr>
        <w:ind w:left="567"/>
        <w:jc w:val="both"/>
        <w:rPr>
          <w:rFonts w:ascii="Arial" w:hAnsi="Arial" w:cs="Arial"/>
        </w:rPr>
      </w:pPr>
    </w:p>
    <w:p w:rsidR="004A27DE" w:rsidRPr="00230DB2" w:rsidRDefault="004A27DE" w:rsidP="004A27DE">
      <w:pPr>
        <w:numPr>
          <w:ilvl w:val="0"/>
          <w:numId w:val="2"/>
        </w:numPr>
        <w:ind w:left="567" w:hanging="567"/>
        <w:jc w:val="both"/>
        <w:rPr>
          <w:rFonts w:ascii="Arial" w:hAnsi="Arial" w:cs="Arial"/>
        </w:rPr>
      </w:pPr>
      <w:r w:rsidRPr="00230DB2">
        <w:rPr>
          <w:rFonts w:ascii="Arial" w:hAnsi="Arial" w:cs="Arial"/>
        </w:rPr>
        <w:lastRenderedPageBreak/>
        <w:t>Conforme a lo señalado en los considerandos anteriores, a continuación se presenta el calendario correspondiente al periodo de acceso conjunto de precampaña del proceso electoral local a celebrarse en el estado de Tamaulipas.</w:t>
      </w:r>
    </w:p>
    <w:p w:rsidR="00A942B3" w:rsidRDefault="00A942B3" w:rsidP="00A942B3">
      <w:pPr>
        <w:ind w:left="567"/>
        <w:jc w:val="both"/>
        <w:rPr>
          <w:rFonts w:ascii="Arial" w:hAnsi="Arial" w:cs="Arial"/>
          <w:highlight w:val="green"/>
        </w:rPr>
      </w:pPr>
    </w:p>
    <w:p w:rsidR="00230DB2" w:rsidRDefault="00230DB2" w:rsidP="00A942B3">
      <w:pPr>
        <w:ind w:left="567"/>
        <w:jc w:val="both"/>
        <w:rPr>
          <w:rFonts w:ascii="Arial" w:hAnsi="Arial" w:cs="Arial"/>
          <w:highlight w:val="green"/>
        </w:rPr>
      </w:pPr>
    </w:p>
    <w:p w:rsidR="00A942B3" w:rsidRPr="00236010" w:rsidRDefault="00A942B3" w:rsidP="00A942B3">
      <w:pPr>
        <w:autoSpaceDE w:val="0"/>
        <w:autoSpaceDN w:val="0"/>
        <w:adjustRightInd w:val="0"/>
        <w:jc w:val="center"/>
        <w:rPr>
          <w:rFonts w:ascii="Arial" w:hAnsi="Arial" w:cs="Arial"/>
          <w:b/>
          <w:bCs/>
        </w:rPr>
      </w:pPr>
      <w:r w:rsidRPr="00445B12">
        <w:rPr>
          <w:rFonts w:ascii="Arial" w:hAnsi="Arial" w:cs="Arial"/>
          <w:b/>
          <w:bCs/>
        </w:rPr>
        <w:t>PRECAMPAÑA</w:t>
      </w:r>
    </w:p>
    <w:p w:rsidR="00A942B3" w:rsidRPr="00236010" w:rsidRDefault="00A942B3" w:rsidP="00A942B3">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A942B3" w:rsidRPr="00D11FC5" w:rsidTr="008469AE">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A942B3" w:rsidRPr="00D11FC5" w:rsidRDefault="00A942B3" w:rsidP="008469AE">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A942B3" w:rsidRPr="00D11FC5" w:rsidRDefault="00A942B3" w:rsidP="008469AE">
            <w:pPr>
              <w:jc w:val="center"/>
              <w:rPr>
                <w:rFonts w:ascii="Arial" w:hAnsi="Arial" w:cs="Arial"/>
                <w:bCs/>
                <w:color w:val="000000"/>
                <w:sz w:val="20"/>
                <w:szCs w:val="16"/>
              </w:rPr>
            </w:pPr>
            <w:r>
              <w:rPr>
                <w:rFonts w:ascii="Arial" w:hAnsi="Arial" w:cs="Arial"/>
                <w:bCs/>
                <w:color w:val="000000"/>
                <w:sz w:val="20"/>
                <w:szCs w:val="16"/>
              </w:rPr>
              <w:t>5 de enero de 2018</w:t>
            </w:r>
          </w:p>
        </w:tc>
      </w:tr>
    </w:tbl>
    <w:p w:rsidR="00A942B3" w:rsidRPr="00D11FC5" w:rsidRDefault="00A942B3" w:rsidP="00A942B3">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A942B3" w:rsidRPr="00236010" w:rsidTr="008469AE">
        <w:trPr>
          <w:trHeight w:val="765"/>
          <w:tblHeader/>
          <w:jc w:val="center"/>
        </w:trPr>
        <w:tc>
          <w:tcPr>
            <w:tcW w:w="760" w:type="dxa"/>
            <w:tcBorders>
              <w:top w:val="nil"/>
              <w:left w:val="nil"/>
              <w:bottom w:val="nil"/>
              <w:right w:val="nil"/>
            </w:tcBorders>
            <w:shd w:val="clear" w:color="000000" w:fill="C00000"/>
            <w:noWrap/>
            <w:vAlign w:val="center"/>
            <w:hideMark/>
          </w:tcPr>
          <w:p w:rsidR="00A942B3" w:rsidRPr="00236010" w:rsidRDefault="00A942B3" w:rsidP="008469AE">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A942B3" w:rsidRPr="00236010" w:rsidRDefault="00A942B3" w:rsidP="008469AE">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A942B3" w:rsidRPr="00236010" w:rsidRDefault="00A942B3" w:rsidP="008469AE">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A942B3" w:rsidRPr="00236010" w:rsidRDefault="00A942B3" w:rsidP="008469AE">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A942B3" w:rsidRPr="00236010" w:rsidRDefault="00A942B3" w:rsidP="008469AE">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A942B3" w:rsidRPr="00236010" w:rsidTr="008469AE">
        <w:trPr>
          <w:trHeight w:val="315"/>
          <w:jc w:val="center"/>
        </w:trPr>
        <w:tc>
          <w:tcPr>
            <w:tcW w:w="76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r>
      <w:tr w:rsidR="00A942B3" w:rsidRPr="00236010" w:rsidTr="008469AE">
        <w:trPr>
          <w:trHeight w:val="315"/>
          <w:jc w:val="center"/>
        </w:trPr>
        <w:tc>
          <w:tcPr>
            <w:tcW w:w="76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al 17 de enero</w:t>
            </w:r>
          </w:p>
        </w:tc>
      </w:tr>
      <w:tr w:rsidR="00A942B3" w:rsidRPr="00236010" w:rsidTr="008469AE">
        <w:trPr>
          <w:trHeight w:val="315"/>
          <w:jc w:val="center"/>
        </w:trPr>
        <w:tc>
          <w:tcPr>
            <w:tcW w:w="76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18 al 20 de enero</w:t>
            </w:r>
          </w:p>
        </w:tc>
      </w:tr>
      <w:tr w:rsidR="00A942B3" w:rsidRPr="00236010" w:rsidTr="008469AE">
        <w:trPr>
          <w:trHeight w:val="315"/>
          <w:jc w:val="center"/>
        </w:trPr>
        <w:tc>
          <w:tcPr>
            <w:tcW w:w="76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al 24 de enero</w:t>
            </w:r>
          </w:p>
        </w:tc>
      </w:tr>
      <w:tr w:rsidR="00A942B3" w:rsidRPr="00236010" w:rsidTr="008469AE">
        <w:trPr>
          <w:trHeight w:val="315"/>
          <w:jc w:val="center"/>
        </w:trPr>
        <w:tc>
          <w:tcPr>
            <w:tcW w:w="76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25 al 27 de enero</w:t>
            </w:r>
          </w:p>
        </w:tc>
      </w:tr>
      <w:tr w:rsidR="00A942B3" w:rsidRPr="00236010" w:rsidTr="008469AE">
        <w:trPr>
          <w:trHeight w:val="315"/>
          <w:jc w:val="center"/>
        </w:trPr>
        <w:tc>
          <w:tcPr>
            <w:tcW w:w="76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al 31 de enero</w:t>
            </w:r>
          </w:p>
        </w:tc>
      </w:tr>
      <w:tr w:rsidR="00A942B3" w:rsidRPr="00236010" w:rsidTr="008469AE">
        <w:trPr>
          <w:trHeight w:val="315"/>
          <w:jc w:val="center"/>
        </w:trPr>
        <w:tc>
          <w:tcPr>
            <w:tcW w:w="76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 al 3 de febrero</w:t>
            </w:r>
          </w:p>
        </w:tc>
      </w:tr>
      <w:tr w:rsidR="00A942B3" w:rsidRPr="00236010" w:rsidTr="008469AE">
        <w:trPr>
          <w:trHeight w:val="315"/>
          <w:jc w:val="center"/>
        </w:trPr>
        <w:tc>
          <w:tcPr>
            <w:tcW w:w="76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al 7 de febrero</w:t>
            </w:r>
          </w:p>
        </w:tc>
      </w:tr>
      <w:tr w:rsidR="00A942B3" w:rsidRPr="00236010" w:rsidTr="008469AE">
        <w:trPr>
          <w:trHeight w:val="315"/>
          <w:jc w:val="center"/>
        </w:trPr>
        <w:tc>
          <w:tcPr>
            <w:tcW w:w="76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A942B3" w:rsidRPr="00236010" w:rsidTr="008469AE">
        <w:trPr>
          <w:trHeight w:val="315"/>
          <w:jc w:val="center"/>
        </w:trPr>
        <w:tc>
          <w:tcPr>
            <w:tcW w:w="76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A942B3" w:rsidRPr="00236010" w:rsidRDefault="00A942B3" w:rsidP="008469AE">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A942B3" w:rsidRDefault="00A942B3" w:rsidP="00230DB2">
      <w:pPr>
        <w:jc w:val="both"/>
        <w:rPr>
          <w:rFonts w:ascii="Arial" w:hAnsi="Arial" w:cs="Arial"/>
        </w:rPr>
      </w:pPr>
    </w:p>
    <w:p w:rsidR="00230DB2" w:rsidRDefault="00230DB2" w:rsidP="00230DB2">
      <w:pPr>
        <w:jc w:val="both"/>
        <w:rPr>
          <w:rFonts w:ascii="Arial" w:hAnsi="Arial" w:cs="Arial"/>
        </w:rPr>
      </w:pPr>
    </w:p>
    <w:p w:rsidR="00230DB2" w:rsidRPr="00230DB2" w:rsidRDefault="00230DB2" w:rsidP="00230DB2">
      <w:pPr>
        <w:jc w:val="both"/>
        <w:rPr>
          <w:rFonts w:ascii="Arial" w:hAnsi="Arial" w:cs="Arial"/>
        </w:rPr>
      </w:pPr>
    </w:p>
    <w:p w:rsidR="00A942B3" w:rsidRPr="00230DB2" w:rsidRDefault="00A942B3" w:rsidP="004A27DE">
      <w:pPr>
        <w:numPr>
          <w:ilvl w:val="0"/>
          <w:numId w:val="2"/>
        </w:numPr>
        <w:ind w:left="567" w:hanging="567"/>
        <w:jc w:val="both"/>
        <w:rPr>
          <w:rFonts w:ascii="Arial" w:hAnsi="Arial" w:cs="Arial"/>
        </w:rPr>
      </w:pPr>
      <w:r w:rsidRPr="00230DB2">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4A27DE" w:rsidRDefault="004A27DE" w:rsidP="00230DB2">
      <w:pPr>
        <w:ind w:right="173"/>
        <w:jc w:val="both"/>
        <w:rPr>
          <w:rFonts w:ascii="Arial" w:hAnsi="Arial" w:cs="Arial"/>
          <w:spacing w:val="3"/>
        </w:rPr>
      </w:pPr>
    </w:p>
    <w:p w:rsidR="00230DB2" w:rsidRPr="00D11FC5" w:rsidRDefault="00230DB2" w:rsidP="00230DB2">
      <w:pPr>
        <w:ind w:right="173"/>
        <w:jc w:val="both"/>
        <w:rPr>
          <w:rFonts w:ascii="Arial" w:hAnsi="Arial" w:cs="Arial"/>
          <w:spacing w:val="3"/>
        </w:rPr>
      </w:pPr>
    </w:p>
    <w:p w:rsidR="004A27DE" w:rsidRPr="00D11FC5" w:rsidRDefault="004A27DE" w:rsidP="004A27DE">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4A27DE" w:rsidRPr="00D11FC5" w:rsidRDefault="004A27DE" w:rsidP="004A27DE">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4A27DE" w:rsidRPr="00D11FC5" w:rsidTr="00497B11">
        <w:tc>
          <w:tcPr>
            <w:tcW w:w="5000" w:type="pct"/>
            <w:shd w:val="clear" w:color="auto" w:fill="D9D9D9" w:themeFill="background1" w:themeFillShade="D9"/>
          </w:tcPr>
          <w:p w:rsidR="004A27DE" w:rsidRPr="00D11FC5" w:rsidRDefault="004A27DE" w:rsidP="00497B11">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4A27DE" w:rsidRPr="00D11FC5" w:rsidTr="00497B11">
        <w:tc>
          <w:tcPr>
            <w:tcW w:w="5000" w:type="pct"/>
          </w:tcPr>
          <w:p w:rsidR="004A27DE" w:rsidRPr="00D11FC5" w:rsidRDefault="004A27DE" w:rsidP="00497B11">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4A27DE" w:rsidRPr="00D11FC5" w:rsidTr="00497B11">
        <w:tc>
          <w:tcPr>
            <w:tcW w:w="5000" w:type="pct"/>
            <w:shd w:val="clear" w:color="auto" w:fill="D9D9D9" w:themeFill="background1" w:themeFillShade="D9"/>
          </w:tcPr>
          <w:p w:rsidR="004A27DE" w:rsidRPr="00D11FC5" w:rsidRDefault="004A27DE" w:rsidP="00497B11">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4A27DE" w:rsidRPr="00D11FC5" w:rsidTr="00497B11">
        <w:tc>
          <w:tcPr>
            <w:tcW w:w="5000" w:type="pct"/>
          </w:tcPr>
          <w:p w:rsidR="004A27DE" w:rsidRPr="00B95593" w:rsidRDefault="004A27DE" w:rsidP="00497B11">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4A27DE" w:rsidRPr="00D11FC5" w:rsidTr="00497B11">
        <w:tc>
          <w:tcPr>
            <w:tcW w:w="5000" w:type="pct"/>
            <w:shd w:val="clear" w:color="auto" w:fill="D9D9D9" w:themeFill="background1" w:themeFillShade="D9"/>
          </w:tcPr>
          <w:p w:rsidR="004A27DE" w:rsidRPr="00D11FC5" w:rsidRDefault="004A27DE" w:rsidP="00497B11">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4A27DE" w:rsidRPr="00D11FC5" w:rsidTr="00497B11">
        <w:tc>
          <w:tcPr>
            <w:tcW w:w="5000" w:type="pct"/>
          </w:tcPr>
          <w:p w:rsidR="004A27DE" w:rsidRPr="00B95593" w:rsidRDefault="004A27DE" w:rsidP="00497B11">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4A27DE" w:rsidRPr="00D11FC5" w:rsidTr="00497B11">
        <w:tc>
          <w:tcPr>
            <w:tcW w:w="5000" w:type="pct"/>
            <w:shd w:val="clear" w:color="auto" w:fill="D9D9D9" w:themeFill="background1" w:themeFillShade="D9"/>
          </w:tcPr>
          <w:p w:rsidR="004A27DE" w:rsidRPr="00D11FC5" w:rsidRDefault="004A27DE" w:rsidP="00497B11">
            <w:pPr>
              <w:autoSpaceDE w:val="0"/>
              <w:autoSpaceDN w:val="0"/>
              <w:adjustRightInd w:val="0"/>
              <w:jc w:val="center"/>
              <w:rPr>
                <w:rFonts w:ascii="Arial" w:eastAsia="Arial" w:hAnsi="Arial" w:cs="Arial"/>
                <w:i/>
                <w:spacing w:val="1"/>
              </w:rPr>
            </w:pPr>
            <w:r w:rsidRPr="00D11FC5">
              <w:rPr>
                <w:rFonts w:ascii="Arial" w:eastAsia="Arial" w:hAnsi="Arial" w:cs="Arial"/>
                <w:i/>
                <w:spacing w:val="1"/>
              </w:rPr>
              <w:lastRenderedPageBreak/>
              <w:t>Reglamento de Radio y Televisión en Materia Electoral</w:t>
            </w:r>
          </w:p>
        </w:tc>
      </w:tr>
      <w:tr w:rsidR="004A27DE" w:rsidRPr="00D11FC5" w:rsidTr="00497B11">
        <w:tc>
          <w:tcPr>
            <w:tcW w:w="5000" w:type="pct"/>
          </w:tcPr>
          <w:p w:rsidR="004A27DE" w:rsidRPr="00B95593" w:rsidRDefault="004A27DE" w:rsidP="00497B11">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F531A7">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4A27DE" w:rsidRPr="00D11FC5" w:rsidRDefault="004A27DE" w:rsidP="004A27DE">
      <w:pPr>
        <w:ind w:left="567" w:right="173" w:hanging="567"/>
        <w:jc w:val="both"/>
        <w:rPr>
          <w:rFonts w:ascii="Arial" w:hAnsi="Arial" w:cs="Arial"/>
          <w:spacing w:val="3"/>
        </w:rPr>
      </w:pPr>
    </w:p>
    <w:p w:rsidR="004A27DE" w:rsidRPr="00D11FC5" w:rsidRDefault="004A27DE" w:rsidP="004A27DE">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4A27DE" w:rsidRPr="00D11FC5" w:rsidRDefault="004A27DE" w:rsidP="004A27DE">
      <w:pPr>
        <w:spacing w:line="300" w:lineRule="exact"/>
        <w:ind w:right="173"/>
        <w:jc w:val="both"/>
        <w:rPr>
          <w:spacing w:val="3"/>
        </w:rPr>
      </w:pPr>
    </w:p>
    <w:p w:rsidR="004A27DE" w:rsidRPr="00D11FC5" w:rsidRDefault="004A27DE" w:rsidP="004A27DE">
      <w:pPr>
        <w:spacing w:line="300" w:lineRule="exact"/>
        <w:jc w:val="center"/>
        <w:rPr>
          <w:rFonts w:ascii="Arial" w:hAnsi="Arial" w:cs="Arial"/>
          <w:b/>
        </w:rPr>
      </w:pPr>
    </w:p>
    <w:p w:rsidR="004A27DE" w:rsidRPr="00230DB2" w:rsidRDefault="004A27DE" w:rsidP="004A27DE">
      <w:pPr>
        <w:spacing w:line="300" w:lineRule="exact"/>
        <w:jc w:val="center"/>
        <w:rPr>
          <w:rFonts w:ascii="Arial" w:hAnsi="Arial" w:cs="Arial"/>
          <w:b/>
        </w:rPr>
      </w:pPr>
      <w:proofErr w:type="gramStart"/>
      <w:r w:rsidRPr="00230DB2">
        <w:rPr>
          <w:rFonts w:ascii="Arial" w:hAnsi="Arial" w:cs="Arial"/>
          <w:b/>
        </w:rPr>
        <w:t>A  c</w:t>
      </w:r>
      <w:proofErr w:type="gramEnd"/>
      <w:r w:rsidRPr="00230DB2">
        <w:rPr>
          <w:rFonts w:ascii="Arial" w:hAnsi="Arial" w:cs="Arial"/>
          <w:b/>
        </w:rPr>
        <w:t xml:space="preserve">  u  e  r  d  o</w:t>
      </w:r>
    </w:p>
    <w:p w:rsidR="004A27DE" w:rsidRPr="00230DB2" w:rsidRDefault="004A27DE" w:rsidP="004A27DE">
      <w:pPr>
        <w:spacing w:line="300" w:lineRule="exact"/>
        <w:rPr>
          <w:rFonts w:ascii="Arial" w:hAnsi="Arial" w:cs="Arial"/>
          <w:b/>
        </w:rPr>
      </w:pPr>
    </w:p>
    <w:p w:rsidR="004A27DE" w:rsidRPr="00230DB2" w:rsidRDefault="004A27DE" w:rsidP="004A27DE">
      <w:pPr>
        <w:spacing w:line="300" w:lineRule="exact"/>
        <w:ind w:right="49"/>
        <w:jc w:val="both"/>
        <w:rPr>
          <w:rFonts w:ascii="Arial" w:hAnsi="Arial" w:cs="Arial"/>
        </w:rPr>
      </w:pPr>
      <w:r w:rsidRPr="00230DB2">
        <w:rPr>
          <w:rFonts w:ascii="Arial" w:hAnsi="Arial" w:cs="Arial"/>
          <w:b/>
        </w:rPr>
        <w:t xml:space="preserve">PRIMERO. </w:t>
      </w:r>
      <w:r w:rsidRPr="00230DB2">
        <w:rPr>
          <w:rFonts w:ascii="Arial" w:hAnsi="Arial" w:cs="Arial"/>
          <w:spacing w:val="-8"/>
        </w:rPr>
        <w:t>Se modifica del Acuerdo INE/ACRT/24/2017, en cuanto a los modelos de distribución y las pautas de transmisión de los mensajes correspondientes a los partidos políticos durante la etapa</w:t>
      </w:r>
      <w:r w:rsidRPr="00230DB2">
        <w:rPr>
          <w:rFonts w:ascii="Arial" w:hAnsi="Arial" w:cs="Arial"/>
        </w:rPr>
        <w:t xml:space="preserve"> de precampaña del Proceso Electoral Local 2017-2018, coincidente con el Proceso Electoral Federal 2017-2018, en el estado de Tamaulipas, mismas que se anexan y forman parte del presente Acuerdo.</w:t>
      </w:r>
    </w:p>
    <w:p w:rsidR="004A27DE" w:rsidRPr="00230DB2" w:rsidRDefault="004A27DE" w:rsidP="004A27DE">
      <w:pPr>
        <w:spacing w:line="300" w:lineRule="exact"/>
        <w:ind w:right="49"/>
        <w:jc w:val="both"/>
        <w:rPr>
          <w:rFonts w:ascii="Arial" w:hAnsi="Arial" w:cs="Arial"/>
        </w:rPr>
      </w:pPr>
    </w:p>
    <w:p w:rsidR="004A27DE" w:rsidRPr="00230DB2" w:rsidRDefault="004A27DE" w:rsidP="004A27DE">
      <w:pPr>
        <w:spacing w:line="300" w:lineRule="exact"/>
        <w:ind w:right="49"/>
        <w:jc w:val="both"/>
        <w:rPr>
          <w:rFonts w:ascii="Arial" w:hAnsi="Arial" w:cs="Arial"/>
        </w:rPr>
      </w:pPr>
      <w:r w:rsidRPr="00230DB2">
        <w:rPr>
          <w:rFonts w:ascii="Arial" w:hAnsi="Arial" w:cs="Arial"/>
          <w:b/>
        </w:rPr>
        <w:t xml:space="preserve">SEGUNDO. </w:t>
      </w:r>
      <w:r w:rsidRPr="00230DB2">
        <w:rPr>
          <w:rFonts w:ascii="Arial" w:hAnsi="Arial" w:cs="Arial"/>
        </w:rPr>
        <w:t>Las pautas aprobadas deberán ser transmitidas por las estaciones de radio y canales de televisión establecidas en el catálogo referido en los antecedentes del presente acuerdo.</w:t>
      </w:r>
    </w:p>
    <w:p w:rsidR="004A27DE" w:rsidRPr="00230DB2" w:rsidRDefault="004A27DE" w:rsidP="004A27DE">
      <w:pPr>
        <w:spacing w:line="300" w:lineRule="exact"/>
        <w:ind w:right="49"/>
        <w:jc w:val="both"/>
        <w:rPr>
          <w:rFonts w:ascii="Arial" w:hAnsi="Arial" w:cs="Arial"/>
          <w:b/>
        </w:rPr>
      </w:pPr>
    </w:p>
    <w:p w:rsidR="004A27DE" w:rsidRPr="00230DB2" w:rsidRDefault="004A27DE" w:rsidP="004A27DE">
      <w:pPr>
        <w:spacing w:line="300" w:lineRule="exact"/>
        <w:ind w:right="49"/>
        <w:jc w:val="both"/>
        <w:rPr>
          <w:rFonts w:ascii="Arial" w:hAnsi="Arial" w:cs="Arial"/>
          <w:lang w:eastAsia="es-MX"/>
        </w:rPr>
      </w:pPr>
      <w:r w:rsidRPr="00230DB2">
        <w:rPr>
          <w:rFonts w:ascii="Arial" w:hAnsi="Arial" w:cs="Arial"/>
          <w:b/>
        </w:rPr>
        <w:t xml:space="preserve">TERCERO. </w:t>
      </w:r>
      <w:r w:rsidRPr="00230DB2">
        <w:rPr>
          <w:rFonts w:ascii="Arial" w:hAnsi="Arial" w:cs="Arial"/>
        </w:rPr>
        <w:t xml:space="preserve">Se instruye a la </w:t>
      </w:r>
      <w:r w:rsidRPr="00230DB2">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4A27DE" w:rsidRPr="00230DB2" w:rsidRDefault="004A27DE" w:rsidP="004A27DE">
      <w:pPr>
        <w:spacing w:line="300" w:lineRule="exact"/>
        <w:ind w:right="49"/>
        <w:jc w:val="both"/>
        <w:rPr>
          <w:rFonts w:ascii="Arial" w:hAnsi="Arial" w:cs="Arial"/>
          <w:lang w:eastAsia="es-MX"/>
        </w:rPr>
      </w:pPr>
    </w:p>
    <w:p w:rsidR="004A27DE" w:rsidRPr="00230DB2" w:rsidRDefault="004A27DE" w:rsidP="004A27DE">
      <w:pPr>
        <w:spacing w:line="300" w:lineRule="exact"/>
        <w:ind w:right="49"/>
        <w:jc w:val="both"/>
        <w:rPr>
          <w:rFonts w:ascii="Arial" w:hAnsi="Arial" w:cs="Arial"/>
          <w:lang w:eastAsia="es-MX"/>
        </w:rPr>
      </w:pPr>
      <w:r w:rsidRPr="00230DB2">
        <w:rPr>
          <w:rFonts w:ascii="Arial" w:hAnsi="Arial" w:cs="Arial"/>
          <w:b/>
          <w:bCs/>
        </w:rPr>
        <w:t xml:space="preserve">CUARTO. </w:t>
      </w:r>
      <w:r w:rsidRPr="00230DB2">
        <w:rPr>
          <w:rFonts w:ascii="Arial" w:hAnsi="Arial" w:cs="Arial"/>
          <w:bCs/>
        </w:rPr>
        <w:t>La</w:t>
      </w:r>
      <w:r w:rsidRPr="00230DB2">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230DB2">
        <w:rPr>
          <w:rFonts w:ascii="Arial" w:hAnsi="Arial" w:cs="Arial"/>
          <w:b/>
        </w:rPr>
        <w:t>.</w:t>
      </w:r>
    </w:p>
    <w:p w:rsidR="004A27DE" w:rsidRPr="00230DB2" w:rsidRDefault="004A27DE" w:rsidP="004A27DE">
      <w:pPr>
        <w:spacing w:line="300" w:lineRule="exact"/>
        <w:ind w:right="49"/>
        <w:jc w:val="both"/>
        <w:rPr>
          <w:rFonts w:ascii="Arial" w:hAnsi="Arial" w:cs="Arial"/>
          <w:lang w:eastAsia="es-MX"/>
        </w:rPr>
      </w:pPr>
    </w:p>
    <w:p w:rsidR="004A27DE" w:rsidRPr="00230DB2" w:rsidRDefault="004A27DE" w:rsidP="004A27DE">
      <w:pPr>
        <w:shd w:val="clear" w:color="auto" w:fill="FFFFFF" w:themeFill="background1"/>
        <w:spacing w:line="300" w:lineRule="exact"/>
        <w:jc w:val="both"/>
        <w:rPr>
          <w:rFonts w:ascii="Arial" w:hAnsi="Arial" w:cs="Arial"/>
        </w:rPr>
      </w:pPr>
      <w:r w:rsidRPr="00230DB2">
        <w:rPr>
          <w:rFonts w:ascii="Arial" w:hAnsi="Arial" w:cs="Arial"/>
          <w:b/>
        </w:rPr>
        <w:t xml:space="preserve">QUINTO. </w:t>
      </w:r>
      <w:r w:rsidRPr="00230DB2">
        <w:rPr>
          <w:rFonts w:ascii="Arial" w:hAnsi="Arial" w:cs="Arial"/>
        </w:rPr>
        <w:t>Se instruye a la Dirección Ejecutiva de Prerrogativas y Partidos Políticos para que ponga a disposición y entregue, a través del Portal de Pautas para medios de comunicación</w:t>
      </w:r>
      <w:r w:rsidR="0089119A" w:rsidRPr="00230DB2">
        <w:rPr>
          <w:rFonts w:ascii="Arial" w:hAnsi="Arial" w:cs="Arial"/>
        </w:rPr>
        <w:t>,</w:t>
      </w:r>
      <w:r w:rsidRPr="00230DB2">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4A27DE" w:rsidRPr="00230DB2" w:rsidRDefault="004A27DE" w:rsidP="004A27DE">
      <w:pPr>
        <w:shd w:val="clear" w:color="auto" w:fill="FFFFFF" w:themeFill="background1"/>
        <w:spacing w:line="300" w:lineRule="exact"/>
        <w:jc w:val="both"/>
        <w:rPr>
          <w:rFonts w:ascii="Arial" w:hAnsi="Arial" w:cs="Arial"/>
        </w:rPr>
      </w:pPr>
    </w:p>
    <w:p w:rsidR="004A27DE" w:rsidRPr="00230DB2" w:rsidRDefault="004A27DE" w:rsidP="004A27DE">
      <w:pPr>
        <w:shd w:val="clear" w:color="auto" w:fill="FFFFFF" w:themeFill="background1"/>
        <w:spacing w:line="300" w:lineRule="exact"/>
        <w:jc w:val="both"/>
        <w:rPr>
          <w:rFonts w:ascii="Arial" w:hAnsi="Arial" w:cs="Arial"/>
          <w:b/>
        </w:rPr>
      </w:pPr>
      <w:r w:rsidRPr="00230DB2">
        <w:rPr>
          <w:rFonts w:ascii="Arial" w:hAnsi="Arial" w:cs="Arial"/>
          <w:b/>
        </w:rPr>
        <w:lastRenderedPageBreak/>
        <w:t xml:space="preserve">SEXTO. </w:t>
      </w:r>
      <w:r w:rsidRPr="00230DB2">
        <w:rPr>
          <w:rFonts w:ascii="Arial" w:hAnsi="Arial" w:cs="Arial"/>
        </w:rPr>
        <w:t>Se aprueba el calendario para la entrega de materiales y órdenes de transmisión, a que se refiere el presente Acuerdo.</w:t>
      </w:r>
    </w:p>
    <w:p w:rsidR="004A27DE" w:rsidRPr="00230DB2" w:rsidRDefault="004A27DE" w:rsidP="004A27DE">
      <w:pPr>
        <w:shd w:val="clear" w:color="auto" w:fill="FFFFFF" w:themeFill="background1"/>
        <w:spacing w:line="300" w:lineRule="exact"/>
        <w:jc w:val="both"/>
        <w:rPr>
          <w:rFonts w:ascii="Arial" w:hAnsi="Arial" w:cs="Arial"/>
        </w:rPr>
      </w:pPr>
    </w:p>
    <w:p w:rsidR="004A27DE" w:rsidRPr="00230DB2" w:rsidRDefault="004A27DE" w:rsidP="004A27DE">
      <w:pPr>
        <w:shd w:val="clear" w:color="auto" w:fill="FFFFFF" w:themeFill="background1"/>
        <w:spacing w:line="300" w:lineRule="exact"/>
        <w:jc w:val="both"/>
        <w:rPr>
          <w:rFonts w:ascii="Arial" w:hAnsi="Arial" w:cs="Arial"/>
        </w:rPr>
      </w:pPr>
      <w:r w:rsidRPr="00230DB2">
        <w:rPr>
          <w:rFonts w:ascii="Arial" w:hAnsi="Arial" w:cs="Arial"/>
          <w:b/>
        </w:rPr>
        <w:t>SÉPTIMO.</w:t>
      </w:r>
      <w:r w:rsidRPr="00230DB2">
        <w:rPr>
          <w:rFonts w:ascii="Arial" w:hAnsi="Arial" w:cs="Arial"/>
        </w:rPr>
        <w:t xml:space="preserve"> Notifíquese a la Secretaría Ejecutiva del Instituto para los efectos legales a que haya lugar.</w:t>
      </w:r>
    </w:p>
    <w:p w:rsidR="004A27DE" w:rsidRPr="00230DB2" w:rsidRDefault="004A27DE" w:rsidP="004A27DE">
      <w:pPr>
        <w:shd w:val="clear" w:color="auto" w:fill="FFFFFF" w:themeFill="background1"/>
        <w:spacing w:line="300" w:lineRule="exact"/>
        <w:jc w:val="both"/>
        <w:rPr>
          <w:rFonts w:ascii="Arial" w:hAnsi="Arial" w:cs="Arial"/>
          <w:b/>
        </w:rPr>
      </w:pPr>
    </w:p>
    <w:p w:rsidR="004A27DE" w:rsidRPr="00230DB2" w:rsidRDefault="004A27DE" w:rsidP="004A27DE">
      <w:pPr>
        <w:spacing w:line="300" w:lineRule="exact"/>
        <w:jc w:val="both"/>
        <w:rPr>
          <w:rFonts w:ascii="Arial" w:hAnsi="Arial" w:cs="Arial"/>
        </w:rPr>
      </w:pPr>
      <w:r w:rsidRPr="00230DB2">
        <w:rPr>
          <w:rFonts w:ascii="Arial" w:hAnsi="Arial" w:cs="Arial"/>
          <w:b/>
        </w:rPr>
        <w:t xml:space="preserve">OCTAVO. </w:t>
      </w:r>
      <w:r w:rsidRPr="00230DB2">
        <w:rPr>
          <w:rFonts w:ascii="Arial" w:hAnsi="Arial" w:cs="Arial"/>
        </w:rPr>
        <w:t>Se instruye a la Secretaría Ejecutiva para que, por conducto de la Dirección Ejecutiva de Prerrogativas y Partidos Políticos, comunique el presente Acuerdo a la Junta Local Ejecutiva del Instituto Nacional Electoral en el estado de Tamaulipas, a las emisoras de radio y canales de televisión previstas en el catálogo y a la Dirección General de Radio, Televisión y Cinematografía de la Secretaría de Gobernación para los efectos legales a que haya lugar.</w:t>
      </w:r>
    </w:p>
    <w:p w:rsidR="004A27DE" w:rsidRPr="00230DB2" w:rsidRDefault="004A27DE" w:rsidP="004A27DE">
      <w:pPr>
        <w:spacing w:line="300" w:lineRule="exact"/>
        <w:jc w:val="both"/>
        <w:rPr>
          <w:rFonts w:ascii="Arial" w:hAnsi="Arial" w:cs="Arial"/>
        </w:rPr>
      </w:pPr>
    </w:p>
    <w:p w:rsidR="004A27DE" w:rsidRPr="00D125F7" w:rsidRDefault="004A27DE" w:rsidP="004A27DE">
      <w:pPr>
        <w:spacing w:line="300" w:lineRule="exact"/>
        <w:jc w:val="both"/>
        <w:rPr>
          <w:rFonts w:ascii="Arial" w:hAnsi="Arial" w:cs="Arial"/>
        </w:rPr>
      </w:pPr>
      <w:r w:rsidRPr="00230DB2">
        <w:rPr>
          <w:rFonts w:ascii="Arial" w:hAnsi="Arial" w:cs="Arial"/>
          <w:b/>
        </w:rPr>
        <w:t xml:space="preserve">NOVENO. </w:t>
      </w:r>
      <w:r w:rsidRPr="00230DB2">
        <w:rPr>
          <w:rFonts w:ascii="Arial" w:hAnsi="Arial" w:cs="Arial"/>
        </w:rPr>
        <w:t>Se instruye a la Secretaría Ejecutiva para que, por conducto de la Dirección Ejecutiva de Prerrogativas y Partidos Políticos, comunique el presente Acuerdo al</w:t>
      </w:r>
      <w:r w:rsidRPr="00230DB2">
        <w:rPr>
          <w:rFonts w:ascii="Arial" w:hAnsi="Arial" w:cs="Arial"/>
          <w:color w:val="000000"/>
        </w:rPr>
        <w:t xml:space="preserve"> Instituto Electoral de Tamaulipas,</w:t>
      </w:r>
      <w:r w:rsidRPr="00230DB2">
        <w:rPr>
          <w:rFonts w:ascii="Arial" w:hAnsi="Arial" w:cs="Arial"/>
        </w:rPr>
        <w:t xml:space="preserve"> para los efectos legales a que haya lugar.</w:t>
      </w:r>
    </w:p>
    <w:p w:rsidR="004A27DE" w:rsidRPr="00D125F7" w:rsidRDefault="004A27DE" w:rsidP="004A27DE">
      <w:pPr>
        <w:spacing w:line="300" w:lineRule="exact"/>
        <w:jc w:val="both"/>
        <w:rPr>
          <w:rFonts w:ascii="Arial" w:hAnsi="Arial" w:cs="Arial"/>
        </w:rPr>
      </w:pPr>
    </w:p>
    <w:p w:rsidR="004A27DE" w:rsidRDefault="004A27DE" w:rsidP="004A27DE"/>
    <w:p w:rsidR="004A27DE" w:rsidRDefault="004A27DE" w:rsidP="004A27DE"/>
    <w:p w:rsidR="004A27DE" w:rsidRDefault="004A27DE" w:rsidP="004A27DE"/>
    <w:p w:rsidR="004A27DE" w:rsidRDefault="004A27DE" w:rsidP="004A27DE"/>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514A" w:rsidRDefault="00A4514A">
      <w:r>
        <w:separator/>
      </w:r>
    </w:p>
  </w:endnote>
  <w:endnote w:type="continuationSeparator" w:id="0">
    <w:p w:rsidR="00A4514A" w:rsidRDefault="00A45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4A27DE">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230DB2" w:rsidRPr="00230DB2">
          <w:rPr>
            <w:rFonts w:ascii="Arial" w:hAnsi="Arial" w:cs="Arial"/>
            <w:noProof/>
            <w:sz w:val="20"/>
            <w:szCs w:val="20"/>
            <w:lang w:val="es-ES"/>
          </w:rPr>
          <w:t>18</w:t>
        </w:r>
        <w:r w:rsidRPr="00552CDF">
          <w:rPr>
            <w:rFonts w:ascii="Arial" w:hAnsi="Arial" w:cs="Arial"/>
            <w:sz w:val="20"/>
            <w:szCs w:val="20"/>
          </w:rPr>
          <w:fldChar w:fldCharType="end"/>
        </w:r>
      </w:p>
    </w:sdtContent>
  </w:sdt>
  <w:p w:rsidR="00291C64" w:rsidRDefault="00A4514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514A" w:rsidRDefault="00A4514A">
      <w:r>
        <w:separator/>
      </w:r>
    </w:p>
  </w:footnote>
  <w:footnote w:type="continuationSeparator" w:id="0">
    <w:p w:rsidR="00A4514A" w:rsidRDefault="00A451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A4514A" w:rsidP="00291C64">
    <w:pPr>
      <w:pStyle w:val="Encabezado"/>
      <w:jc w:val="right"/>
      <w:rPr>
        <w:rFonts w:ascii="Arial" w:hAnsi="Arial" w:cs="Arial"/>
        <w:b/>
        <w:sz w:val="24"/>
        <w:szCs w:val="24"/>
      </w:rPr>
    </w:pPr>
  </w:p>
  <w:p w:rsidR="00291C64" w:rsidRDefault="00A4514A" w:rsidP="00291C64">
    <w:pPr>
      <w:pStyle w:val="Encabezado"/>
      <w:jc w:val="right"/>
      <w:rPr>
        <w:rFonts w:ascii="Arial" w:hAnsi="Arial" w:cs="Arial"/>
        <w:b/>
        <w:sz w:val="24"/>
        <w:szCs w:val="24"/>
      </w:rPr>
    </w:pPr>
  </w:p>
  <w:p w:rsidR="00291C64" w:rsidRDefault="00A4514A" w:rsidP="00291C64">
    <w:pPr>
      <w:pStyle w:val="Encabezado"/>
      <w:jc w:val="right"/>
      <w:rPr>
        <w:rFonts w:ascii="Arial" w:hAnsi="Arial" w:cs="Arial"/>
        <w:b/>
        <w:sz w:val="24"/>
        <w:szCs w:val="24"/>
      </w:rPr>
    </w:pPr>
  </w:p>
  <w:p w:rsidR="00291C64" w:rsidRDefault="00A4514A" w:rsidP="00291C64">
    <w:pPr>
      <w:pStyle w:val="Encabezado"/>
      <w:jc w:val="right"/>
      <w:rPr>
        <w:rFonts w:ascii="Arial" w:hAnsi="Arial" w:cs="Arial"/>
        <w:b/>
        <w:sz w:val="24"/>
        <w:szCs w:val="24"/>
      </w:rPr>
    </w:pPr>
  </w:p>
  <w:p w:rsidR="00291C64" w:rsidRPr="00A06625" w:rsidRDefault="00A4514A"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7DE"/>
    <w:rsid w:val="001802FA"/>
    <w:rsid w:val="00230DB2"/>
    <w:rsid w:val="0036368F"/>
    <w:rsid w:val="004A27DE"/>
    <w:rsid w:val="00575A41"/>
    <w:rsid w:val="008906BA"/>
    <w:rsid w:val="0089119A"/>
    <w:rsid w:val="00A4514A"/>
    <w:rsid w:val="00A942B3"/>
    <w:rsid w:val="00C2694B"/>
    <w:rsid w:val="00C56C9B"/>
    <w:rsid w:val="00F27E38"/>
    <w:rsid w:val="00F531A7"/>
    <w:rsid w:val="00F729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4CB3AD-D8FC-4842-B5AC-9A487209B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27D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4A27DE"/>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4A27DE"/>
  </w:style>
  <w:style w:type="paragraph" w:styleId="Encabezado">
    <w:name w:val="header"/>
    <w:basedOn w:val="Normal"/>
    <w:link w:val="EncabezadoCar"/>
    <w:uiPriority w:val="99"/>
    <w:unhideWhenUsed/>
    <w:rsid w:val="004A27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4A27DE"/>
  </w:style>
  <w:style w:type="paragraph" w:styleId="Piedepgina">
    <w:name w:val="footer"/>
    <w:basedOn w:val="Normal"/>
    <w:link w:val="PiedepginaCar"/>
    <w:uiPriority w:val="99"/>
    <w:unhideWhenUsed/>
    <w:rsid w:val="004A27D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4A27DE"/>
  </w:style>
  <w:style w:type="table" w:styleId="Tablaconcuadrcula">
    <w:name w:val="Table Grid"/>
    <w:basedOn w:val="Tablanormal"/>
    <w:uiPriority w:val="59"/>
    <w:rsid w:val="004A27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18</Pages>
  <Words>5606</Words>
  <Characters>30838</Characters>
  <Application>Microsoft Office Word</Application>
  <DocSecurity>0</DocSecurity>
  <Lines>256</Lines>
  <Paragraphs>72</Paragraphs>
  <ScaleCrop>false</ScaleCrop>
  <Company>INE</Company>
  <LinksUpToDate>false</LinksUpToDate>
  <CharactersWithSpaces>36372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7</cp:revision>
  <dcterms:created xsi:type="dcterms:W3CDTF">2017-11-28T21:49:00Z</dcterms:created>
  <dcterms:modified xsi:type="dcterms:W3CDTF">2017-12-01T17:22:00Z</dcterms:modified>
</cp:coreProperties>
</file>