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word/_rels/document.xml.rels" ContentType="application/vnd.openxmlformats-package.relationships+xml"/>
  <Override PartName="/word/_rels/header1.xml.rels" ContentType="application/vnd.openxmlformats-package.relationship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header1.xml" ContentType="application/vnd.openxmlformats-officedocument.wordprocessingml.header+xml"/>
  <Override PartName="/word/media/image1.jpeg" ContentType="image/jpeg"/>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docProps/app.xml" ContentType="application/vnd.openxmlformats-officedocument.extended-properties+xml"/>
  <Override PartName="/docProps/custom.xml" ContentType="application/vnd.openxmlformats-officedocument.custom-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Style w:val="Strong"/>
          <w:rFonts w:ascii="Century Gothic" w:hAnsi="Century Gothic"/>
          <w:color w:val="641E46"/>
        </w:rPr>
      </w:pPr>
      <w:r>
        <w:rPr>
          <w:rFonts w:cs="Calibri" w:ascii="Century Gothic" w:hAnsi="Century Gothic"/>
          <w:b/>
          <w:color w:val="641E46"/>
          <w:lang w:val="es-ES"/>
        </w:rPr>
        <w:t>COMISIÓN DEL REGISTRO FEDERAL DE ELECTORES</w:t>
      </w:r>
    </w:p>
    <w:p>
      <w:pPr>
        <w:pStyle w:val="Normal"/>
        <w:jc w:val="center"/>
        <w:rPr>
          <w:rFonts w:ascii="Century Gothic" w:hAnsi="Century Gothic" w:cs="Arial"/>
          <w:color w:val="641E46"/>
        </w:rPr>
      </w:pPr>
      <w:r>
        <w:rPr/>
      </w:r>
    </w:p>
    <w:p>
      <w:pPr>
        <w:pStyle w:val="Normal"/>
        <w:jc w:val="center"/>
        <w:rPr>
          <w:rFonts w:ascii="Century Gothic" w:hAnsi="Century Gothic" w:cs="Calibri"/>
          <w:b/>
          <w:b/>
          <w:color w:val="641E46"/>
          <w:sz w:val="22"/>
          <w:lang w:val="es-ES"/>
        </w:rPr>
      </w:pPr>
      <w:r>
        <w:rPr>
          <w:rFonts w:cs="Calibri" w:ascii="Century Gothic" w:hAnsi="Century Gothic"/>
          <w:b/>
          <w:color w:val="641E46"/>
          <w:sz w:val="22"/>
          <w:lang w:val="es-ES"/>
        </w:rPr>
        <w:t>SEGUNDA SESIÓN ORDINARIA</w:t>
      </w:r>
    </w:p>
    <w:p>
      <w:pPr>
        <w:pStyle w:val="Normal"/>
        <w:jc w:val="center"/>
        <w:rPr>
          <w:rFonts w:ascii="Century Gothic" w:hAnsi="Century Gothic" w:cs="Arial"/>
          <w:color w:val="641E46"/>
          <w:sz w:val="22"/>
        </w:rPr>
      </w:pPr>
      <w:r>
        <w:rPr>
          <w:rFonts w:cs="Arial" w:ascii="Century Gothic" w:hAnsi="Century Gothic"/>
          <w:color w:val="641E46"/>
          <w:sz w:val="22"/>
        </w:rPr>
      </w:r>
    </w:p>
    <w:p>
      <w:pPr>
        <w:pStyle w:val="Normal"/>
        <w:jc w:val="center"/>
        <w:rPr>
          <w:rFonts w:ascii="Century Gothic" w:hAnsi="Century Gothic" w:cs="Arial"/>
          <w:b/>
          <w:b/>
          <w:color w:val="641E46"/>
          <w:sz w:val="22"/>
        </w:rPr>
      </w:pPr>
      <w:r>
        <w:rPr>
          <w:rFonts w:cs="Arial" w:ascii="Century Gothic" w:hAnsi="Century Gothic"/>
          <w:b/>
          <w:color w:val="641E46"/>
          <w:sz w:val="22"/>
        </w:rPr>
        <w:t>JUEVES 25 DE JUNIO DE 2020</w:t>
      </w:r>
    </w:p>
    <w:p>
      <w:pPr>
        <w:pStyle w:val="Normal"/>
        <w:jc w:val="center"/>
        <w:rPr>
          <w:rFonts w:ascii="Century Gothic" w:hAnsi="Century Gothic" w:cs="Arial"/>
          <w:b/>
          <w:b/>
          <w:color w:val="641E46"/>
          <w:sz w:val="22"/>
        </w:rPr>
      </w:pPr>
      <w:r>
        <w:rPr>
          <w:rFonts w:cs="Arial" w:ascii="Century Gothic" w:hAnsi="Century Gothic"/>
          <w:b/>
          <w:color w:val="641E46"/>
          <w:sz w:val="22"/>
        </w:rPr>
        <w:t>11:00 HORAS</w:t>
      </w:r>
    </w:p>
    <w:p>
      <w:pPr>
        <w:pStyle w:val="Normal"/>
        <w:jc w:val="center"/>
        <w:rPr>
          <w:rFonts w:ascii="Century Gothic" w:hAnsi="Century Gothic" w:cs="Arial"/>
          <w:b/>
          <w:b/>
          <w:color w:val="641E46"/>
          <w:sz w:val="22"/>
        </w:rPr>
      </w:pPr>
      <w:r>
        <w:rPr>
          <w:rFonts w:cs="Arial" w:ascii="Century Gothic" w:hAnsi="Century Gothic"/>
          <w:b/>
          <w:color w:val="641E46"/>
          <w:sz w:val="22"/>
        </w:rPr>
        <w:t>SESIÓN VIRTUAL (PLATAFORMA INE-WEBEX)</w:t>
      </w:r>
    </w:p>
    <w:p>
      <w:pPr>
        <w:pStyle w:val="Normal"/>
        <w:jc w:val="center"/>
        <w:rPr>
          <w:rFonts w:ascii="Century Gothic" w:hAnsi="Century Gothic" w:cs="Arial"/>
          <w:b/>
          <w:b/>
          <w:color w:val="641E46"/>
          <w:sz w:val="22"/>
        </w:rPr>
      </w:pPr>
      <w:r>
        <w:rPr>
          <w:rFonts w:cs="Arial" w:ascii="Century Gothic" w:hAnsi="Century Gothic"/>
          <w:b/>
          <w:color w:val="641E46"/>
          <w:sz w:val="22"/>
        </w:rPr>
      </w:r>
    </w:p>
    <w:p>
      <w:pPr>
        <w:pStyle w:val="Normal"/>
        <w:jc w:val="center"/>
        <w:rPr>
          <w:rFonts w:ascii="Century Gothic" w:hAnsi="Century Gothic" w:cs="Arial"/>
          <w:sz w:val="22"/>
        </w:rPr>
      </w:pPr>
      <w:r>
        <w:rPr>
          <w:rFonts w:cs="Arial" w:ascii="Century Gothic" w:hAnsi="Century Gothic"/>
          <w:b/>
          <w:color w:val="641E46"/>
          <w:sz w:val="22"/>
        </w:rPr>
        <w:t>ORDEN DEL DÍA</w:t>
      </w:r>
    </w:p>
    <w:p>
      <w:pPr>
        <w:pStyle w:val="Normal"/>
        <w:rPr>
          <w:rFonts w:ascii="Century Gothic" w:hAnsi="Century Gothic"/>
          <w:sz w:val="22"/>
          <w:szCs w:val="22"/>
        </w:rPr>
      </w:pPr>
      <w:r>
        <w:rPr>
          <w:rFonts w:ascii="Century Gothic" w:hAnsi="Century Gothic"/>
          <w:sz w:val="22"/>
          <w:szCs w:val="22"/>
        </w:rPr>
      </w:r>
    </w:p>
    <w:p>
      <w:pPr>
        <w:pStyle w:val="Normal"/>
        <w:rPr>
          <w:rFonts w:ascii="Century Gothic" w:hAnsi="Century Gothic"/>
          <w:sz w:val="22"/>
          <w:szCs w:val="22"/>
        </w:rPr>
      </w:pPr>
      <w:r>
        <w:rPr>
          <w:rFonts w:ascii="Century Gothic" w:hAnsi="Century Gothic"/>
          <w:sz w:val="22"/>
          <w:szCs w:val="22"/>
        </w:rPr>
      </w:r>
    </w:p>
    <w:p>
      <w:pPr>
        <w:pStyle w:val="ListParagraph"/>
        <w:numPr>
          <w:ilvl w:val="0"/>
          <w:numId w:val="1"/>
        </w:numPr>
        <w:tabs>
          <w:tab w:val="clear" w:pos="708"/>
          <w:tab w:val="left" w:pos="567" w:leader="none"/>
        </w:tabs>
        <w:spacing w:before="0" w:after="0"/>
        <w:ind w:left="567" w:hanging="567"/>
        <w:jc w:val="both"/>
        <w:rPr>
          <w:rStyle w:val="InternetLink"/>
          <w:rFonts w:ascii="Century Gothic" w:hAnsi="Century Gothic" w:cs="Arial"/>
          <w:b w:val="false"/>
          <w:b w:val="false"/>
          <w:bCs w:val="false"/>
          <w:color w:val="auto"/>
          <w:sz w:val="22"/>
          <w:szCs w:val="22"/>
          <w:u w:val="none"/>
        </w:rPr>
      </w:pPr>
      <w:hyperlink r:id="rId2">
        <w:r>
          <w:rPr>
            <w:rStyle w:val="InternetLink"/>
            <w:rFonts w:cs="Arial" w:ascii="Century Gothic" w:hAnsi="Century Gothic"/>
            <w:b w:val="false"/>
            <w:color w:val="auto"/>
            <w:sz w:val="22"/>
            <w:szCs w:val="22"/>
            <w:u w:val="none"/>
          </w:rPr>
          <w:t>Presentación y, en su caso, aprobación del Orden del día.</w:t>
        </w:r>
      </w:hyperlink>
      <w:r>
        <w:rPr>
          <w:rStyle w:val="InternetLink"/>
          <w:rFonts w:cs="Arial" w:ascii="Century Gothic" w:hAnsi="Century Gothic"/>
          <w:b w:val="false"/>
          <w:color w:val="auto"/>
          <w:sz w:val="22"/>
          <w:szCs w:val="22"/>
          <w:u w:val="none"/>
        </w:rPr>
        <w:t xml:space="preserve"> </w:t>
      </w:r>
    </w:p>
    <w:p>
      <w:pPr>
        <w:pStyle w:val="ListParagraph"/>
        <w:spacing w:before="0" w:after="0"/>
        <w:ind w:left="567" w:hanging="0"/>
        <w:jc w:val="both"/>
        <w:rPr>
          <w:rStyle w:val="InternetLink"/>
          <w:rFonts w:ascii="Century Gothic" w:hAnsi="Century Gothic" w:cs="Arial"/>
          <w:b w:val="false"/>
          <w:b w:val="false"/>
          <w:bCs w:val="false"/>
          <w:color w:val="auto"/>
          <w:sz w:val="22"/>
          <w:szCs w:val="22"/>
          <w:u w:val="none"/>
        </w:rPr>
      </w:pPr>
      <w:r>
        <w:rPr>
          <w:rFonts w:cs="Arial" w:ascii="Century Gothic" w:hAnsi="Century Gothic"/>
          <w:b w:val="false"/>
          <w:bCs w:val="false"/>
          <w:color w:val="auto"/>
          <w:sz w:val="22"/>
          <w:szCs w:val="22"/>
          <w:u w:val="none"/>
        </w:rPr>
      </w:r>
    </w:p>
    <w:p>
      <w:pPr>
        <w:pStyle w:val="ListParagraph"/>
        <w:numPr>
          <w:ilvl w:val="0"/>
          <w:numId w:val="1"/>
        </w:numPr>
        <w:tabs>
          <w:tab w:val="clear" w:pos="708"/>
          <w:tab w:val="left" w:pos="567" w:leader="none"/>
        </w:tabs>
        <w:spacing w:before="0" w:after="0"/>
        <w:ind w:left="567" w:hanging="567"/>
        <w:jc w:val="both"/>
        <w:rPr>
          <w:rFonts w:ascii="Century Gothic" w:hAnsi="Century Gothic" w:cs="Arial"/>
          <w:sz w:val="22"/>
          <w:szCs w:val="22"/>
        </w:rPr>
      </w:pPr>
      <w:r>
        <w:rPr>
          <w:rFonts w:ascii="Century Gothic" w:hAnsi="Century Gothic"/>
          <w:bCs/>
          <w:sz w:val="22"/>
          <w:szCs w:val="22"/>
        </w:rPr>
        <w:t>Presentación y, en su caso, aprobación de las Actas de la Segunda y Tercera Sesiones Extraordinarias de la Comisión del Registro Federal de Electores, celebradas el 13 de mayo de 2020.</w:t>
      </w:r>
    </w:p>
    <w:p>
      <w:pPr>
        <w:pStyle w:val="ListParagraph"/>
        <w:rPr>
          <w:rFonts w:ascii="Century Gothic" w:hAnsi="Century Gothic"/>
          <w:bCs/>
          <w:sz w:val="22"/>
          <w:szCs w:val="22"/>
        </w:rPr>
      </w:pPr>
      <w:r>
        <w:rPr>
          <w:rFonts w:ascii="Century Gothic" w:hAnsi="Century Gothic"/>
          <w:bCs/>
          <w:sz w:val="22"/>
          <w:szCs w:val="22"/>
        </w:rPr>
      </w:r>
    </w:p>
    <w:p>
      <w:pPr>
        <w:pStyle w:val="ListParagraph"/>
        <w:numPr>
          <w:ilvl w:val="0"/>
          <w:numId w:val="1"/>
        </w:numPr>
        <w:tabs>
          <w:tab w:val="clear" w:pos="708"/>
          <w:tab w:val="left" w:pos="567" w:leader="none"/>
        </w:tabs>
        <w:spacing w:before="0" w:after="0"/>
        <w:ind w:left="567" w:hanging="567"/>
        <w:jc w:val="both"/>
        <w:rPr>
          <w:rFonts w:ascii="Century Gothic" w:hAnsi="Century Gothic"/>
          <w:bCs/>
          <w:sz w:val="22"/>
          <w:szCs w:val="22"/>
        </w:rPr>
      </w:pPr>
      <w:r>
        <w:rPr>
          <w:rFonts w:ascii="Century Gothic" w:hAnsi="Century Gothic"/>
          <w:bCs/>
          <w:sz w:val="22"/>
          <w:szCs w:val="22"/>
        </w:rPr>
        <w:t>Presentación del Informe sobre el seguimiento y cumplimiento de compromisos y acuerdos de la Comisión del Registro Federal de Electores.</w:t>
      </w:r>
    </w:p>
    <w:p>
      <w:pPr>
        <w:pStyle w:val="ListParagraph"/>
        <w:rPr>
          <w:rFonts w:ascii="Century Gothic" w:hAnsi="Century Gothic"/>
          <w:bCs/>
          <w:sz w:val="22"/>
          <w:szCs w:val="22"/>
        </w:rPr>
      </w:pPr>
      <w:r>
        <w:rPr>
          <w:rFonts w:ascii="Century Gothic" w:hAnsi="Century Gothic"/>
          <w:bCs/>
          <w:sz w:val="22"/>
          <w:szCs w:val="22"/>
        </w:rPr>
      </w:r>
    </w:p>
    <w:p>
      <w:pPr>
        <w:pStyle w:val="ListParagraph"/>
        <w:numPr>
          <w:ilvl w:val="0"/>
          <w:numId w:val="1"/>
        </w:numPr>
        <w:tabs>
          <w:tab w:val="clear" w:pos="708"/>
          <w:tab w:val="left" w:pos="567" w:leader="none"/>
        </w:tabs>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Presentación del Informe de actividades del Registro Federal de Electores, periodo de marzo a mayo de 2020.</w:t>
      </w:r>
    </w:p>
    <w:p>
      <w:pPr>
        <w:pStyle w:val="ListParagrap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ListParagraph"/>
        <w:numPr>
          <w:ilvl w:val="0"/>
          <w:numId w:val="1"/>
        </w:numPr>
        <w:tabs>
          <w:tab w:val="clear" w:pos="708"/>
          <w:tab w:val="left" w:pos="567" w:leader="none"/>
        </w:tabs>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Presentación y, en su caso, aprobación del Proyecto de Acuerdo del Consejo General del Instituto Nacional Electoral por el que se aprueban los “Procedimientos para los trabajos de Reseccionamiento 2020”.</w:t>
      </w:r>
    </w:p>
    <w:p>
      <w:pPr>
        <w:pStyle w:val="ListParagraph"/>
        <w:rPr>
          <w:rStyle w:val="InternetLink"/>
          <w:rFonts w:ascii="Century Gothic" w:hAnsi="Century Gothic"/>
          <w:b w:val="false"/>
          <w:b w:val="false"/>
          <w:color w:val="auto"/>
          <w:sz w:val="22"/>
          <w:szCs w:val="22"/>
          <w:highlight w:val="yellow"/>
          <w:u w:val="none"/>
        </w:rPr>
      </w:pPr>
      <w:r>
        <w:rPr>
          <w:rFonts w:ascii="Century Gothic" w:hAnsi="Century Gothic"/>
          <w:b w:val="false"/>
          <w:color w:val="auto"/>
          <w:sz w:val="22"/>
          <w:szCs w:val="22"/>
          <w:highlight w:val="yellow"/>
          <w:u w:val="none"/>
        </w:rPr>
      </w:r>
    </w:p>
    <w:p>
      <w:pPr>
        <w:pStyle w:val="ListParagraph"/>
        <w:numPr>
          <w:ilvl w:val="0"/>
          <w:numId w:val="1"/>
        </w:numPr>
        <w:tabs>
          <w:tab w:val="clear" w:pos="708"/>
          <w:tab w:val="left" w:pos="567" w:leader="none"/>
        </w:tabs>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Presentación y, en su caso, aprobación del Proyecto de Acuerdo del Consejo General del Instituto Nacional Electoral por el que se aprueban las modificaciones a los “Lineamientos para la incorporación, actualización, exclusión y reincorporación de los registros de las ciudadanas y los ciudadanos en el Padrón Electoral y la Lista Nominal de Electores”, aprobados mediante diverso INE/CG192/2017.</w:t>
      </w:r>
    </w:p>
    <w:p>
      <w:pPr>
        <w:pStyle w:val="ListParagrap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ListParagraph"/>
        <w:numPr>
          <w:ilvl w:val="0"/>
          <w:numId w:val="1"/>
        </w:numPr>
        <w:tabs>
          <w:tab w:val="clear" w:pos="708"/>
          <w:tab w:val="left" w:pos="567" w:leader="none"/>
        </w:tabs>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Presentación y, en su caso, aprobación del Proyecto de Acuerdo del Consejo General del Instituto Nacional Electoral por el que se aprueban los “Lineamientos para la conformación de la Lista Nominal de Electores Residentes en el Extranjero para los Procesos Electorales Locales 2020-2021”.</w:t>
      </w:r>
    </w:p>
    <w:p>
      <w:pPr>
        <w:pStyle w:val="ListParagraph"/>
        <w:rPr>
          <w:rFonts w:ascii="Century Gothic" w:hAnsi="Century Gothic"/>
          <w:bCs/>
          <w:sz w:val="22"/>
          <w:szCs w:val="22"/>
        </w:rPr>
      </w:pPr>
      <w:r>
        <w:rPr>
          <w:rFonts w:ascii="Century Gothic" w:hAnsi="Century Gothic"/>
          <w:bCs/>
          <w:sz w:val="22"/>
          <w:szCs w:val="22"/>
        </w:rPr>
      </w:r>
    </w:p>
    <w:p>
      <w:pPr>
        <w:pStyle w:val="ListParagraph"/>
        <w:numPr>
          <w:ilvl w:val="0"/>
          <w:numId w:val="1"/>
        </w:numPr>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Asuntos Generales.</w:t>
      </w:r>
    </w:p>
    <w:p>
      <w:pPr>
        <w:pStyle w:val="ListParagrap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ListParagraph"/>
        <w:numPr>
          <w:ilvl w:val="0"/>
          <w:numId w:val="1"/>
        </w:numPr>
        <w:spacing w:before="0" w:after="0"/>
        <w:ind w:left="567" w:hanging="567"/>
        <w:jc w:val="both"/>
        <w:rPr>
          <w:rStyle w:val="InternetLink"/>
          <w:rFonts w:ascii="Century Gothic" w:hAnsi="Century Gothic"/>
          <w:b w:val="false"/>
          <w:b w:val="false"/>
          <w:color w:val="auto"/>
          <w:sz w:val="22"/>
          <w:szCs w:val="22"/>
          <w:u w:val="none"/>
        </w:rPr>
      </w:pPr>
      <w:r>
        <w:rPr>
          <w:rStyle w:val="InternetLink"/>
          <w:rFonts w:ascii="Century Gothic" w:hAnsi="Century Gothic"/>
          <w:b w:val="false"/>
          <w:color w:val="auto"/>
          <w:sz w:val="22"/>
          <w:szCs w:val="22"/>
          <w:u w:val="none"/>
        </w:rPr>
        <w:t xml:space="preserve">Relación de solicitudes y compromisos de la Segunda Sesión Ordinaria de 2020 de la </w:t>
      </w:r>
      <w:r>
        <w:rPr>
          <w:rFonts w:ascii="Century Gothic" w:hAnsi="Century Gothic"/>
          <w:bCs/>
          <w:sz w:val="22"/>
          <w:szCs w:val="22"/>
        </w:rPr>
        <w:t>Comisión del Registro Federal de Electores</w:t>
      </w:r>
      <w:r>
        <w:rPr>
          <w:rStyle w:val="InternetLink"/>
          <w:rFonts w:ascii="Century Gothic" w:hAnsi="Century Gothic"/>
          <w:b w:val="false"/>
          <w:color w:val="auto"/>
          <w:sz w:val="22"/>
          <w:szCs w:val="22"/>
          <w:u w:val="none"/>
        </w:rPr>
        <w:t>.</w:t>
      </w:r>
    </w:p>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Normal"/>
        <w:jc w:val="center"/>
        <w:rPr>
          <w:rStyle w:val="InternetLink"/>
          <w:rFonts w:ascii="Century Gothic" w:hAnsi="Century Gothic"/>
          <w:b w:val="false"/>
          <w:b w:val="false"/>
          <w:color w:val="auto"/>
          <w:sz w:val="22"/>
          <w:szCs w:val="22"/>
          <w:u w:val="none"/>
        </w:rPr>
      </w:pPr>
      <w:r>
        <w:rPr>
          <w:rStyle w:val="InternetLink"/>
          <w:rFonts w:ascii="Century Gothic" w:hAnsi="Century Gothic"/>
          <w:color w:val="641E46"/>
          <w:u w:val="none"/>
        </w:rPr>
        <w:t>RELACIÓN DE ACUERDOS APROBADOS POR LA COMISIÓN</w:t>
      </w:r>
    </w:p>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widowControl/>
              <w:spacing w:before="60" w:after="60"/>
              <w:jc w:val="left"/>
              <w:rPr>
                <w:b/>
                <w:b/>
                <w:color w:val="641E46"/>
                <w:sz w:val="18"/>
                <w:szCs w:val="18"/>
                <w:lang w:eastAsia="en-US"/>
              </w:rPr>
            </w:pPr>
            <w:r>
              <w:rPr>
                <w:rFonts w:eastAsia="Times New Roman" w:ascii="Century Gothic" w:hAnsi="Century Gothic"/>
                <w:b/>
                <w:bCs/>
                <w:color w:val="641E46"/>
                <w:kern w:val="0"/>
                <w:sz w:val="18"/>
                <w:szCs w:val="18"/>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INE/CRFE23/02SO/2020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La Comisión del Registro Federal de Electores aprueba el Orden del día de la Segunda Sesión Ordinaria de 2020.</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8"/>
                <w:lang w:eastAsia="en-US"/>
              </w:rPr>
            </w:pPr>
            <w:r>
              <w:rPr>
                <w:rFonts w:eastAsia="Times New Roman" w:ascii="Century Gothic" w:hAnsi="Century Gothic"/>
                <w:b/>
                <w:bCs/>
                <w:color w:val="641E46"/>
                <w:kern w:val="0"/>
                <w:sz w:val="18"/>
                <w:szCs w:val="18"/>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6"/>
                <w:lang w:eastAsia="en-US"/>
              </w:rPr>
            </w:pPr>
            <w:r>
              <w:rPr>
                <w:rFonts w:eastAsia="Times New Roman" w:ascii="Century Gothic" w:hAnsi="Century Gothic"/>
                <w:b/>
                <w:bCs/>
                <w:color w:val="641E46"/>
                <w:kern w:val="0"/>
                <w:sz w:val="18"/>
                <w:szCs w:val="18"/>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INE/CRFE24/02SO/2020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La Comisión del Registro Federal de Electores aprueba el Acta de la Segunda Sesión Extraordinaria de 2020, celebrada el día 13 de mayo de 2020.</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8"/>
                <w:lang w:eastAsia="en-US"/>
              </w:rPr>
            </w:pPr>
            <w:r>
              <w:rPr>
                <w:rFonts w:eastAsia="Times New Roman" w:ascii="Century Gothic" w:hAnsi="Century Gothic"/>
                <w:b/>
                <w:bCs/>
                <w:color w:val="641E46"/>
                <w:kern w:val="0"/>
                <w:sz w:val="18"/>
                <w:szCs w:val="18"/>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6"/>
                <w:lang w:eastAsia="en-US"/>
              </w:rPr>
            </w:pPr>
            <w:r>
              <w:rPr>
                <w:rFonts w:eastAsia="Times New Roman" w:ascii="Century Gothic" w:hAnsi="Century Gothic"/>
                <w:b/>
                <w:bCs/>
                <w:color w:val="641E46"/>
                <w:kern w:val="0"/>
                <w:sz w:val="18"/>
                <w:szCs w:val="18"/>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INE/CRFE25/02SO/2020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La Comisión del Registro Federal de Electores aprueba el Acta de la Tercera Sesión Extraordinaria de 2020, celebrada el día 13 de mayo de 2020.</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8"/>
                <w:lang w:eastAsia="en-US"/>
              </w:rPr>
            </w:pPr>
            <w:r>
              <w:rPr>
                <w:rFonts w:eastAsia="Times New Roman" w:ascii="Century Gothic" w:hAnsi="Century Gothic"/>
                <w:b/>
                <w:bCs/>
                <w:color w:val="641E46"/>
                <w:kern w:val="0"/>
                <w:sz w:val="18"/>
                <w:szCs w:val="18"/>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widowControl/>
              <w:spacing w:before="60" w:after="60"/>
              <w:jc w:val="left"/>
              <w:rPr>
                <w:b/>
                <w:b/>
                <w:color w:val="641E46"/>
                <w:sz w:val="18"/>
                <w:szCs w:val="16"/>
                <w:lang w:eastAsia="en-US"/>
              </w:rPr>
            </w:pPr>
            <w:r>
              <w:rPr>
                <w:rFonts w:eastAsia="Times New Roman" w:ascii="Century Gothic" w:hAnsi="Century Gothic"/>
                <w:b/>
                <w:bCs/>
                <w:color w:val="641E46"/>
                <w:kern w:val="0"/>
                <w:sz w:val="18"/>
                <w:szCs w:val="16"/>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INE/CRFE26/02SO/2020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 xml:space="preserve">La Comisión del Registro Federal de Electores aprueba someter a la consideración del órgano superior de dirección, el </w:t>
            </w:r>
            <w:r>
              <w:rPr>
                <w:rStyle w:val="InternetLink"/>
                <w:rFonts w:eastAsia="Times New Roman" w:ascii="Century Gothic" w:hAnsi="Century Gothic"/>
                <w:b w:val="false"/>
                <w:color w:val="auto"/>
                <w:kern w:val="0"/>
                <w:sz w:val="20"/>
                <w:szCs w:val="20"/>
                <w:u w:val="none"/>
                <w:lang w:val="es-MX" w:bidi="ar-SA"/>
              </w:rPr>
              <w:t>Proyecto de Acuerdo del Consejo General del Instituto Nacional Electoral por el que se aprueban los “Procedimientos para los trabajos de Reseccionamiento 2020”</w:t>
            </w:r>
            <w:r>
              <w:rPr>
                <w:rFonts w:eastAsia="Times New Roman" w:ascii="Century Gothic" w:hAnsi="Century Gothic"/>
                <w:bCs/>
                <w:kern w:val="0"/>
                <w:sz w:val="20"/>
                <w:szCs w:val="20"/>
                <w:lang w:val="es-MX" w:eastAsia="en-US" w:bidi="ar-SA"/>
              </w:rPr>
              <w:t>.</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6"/>
                <w:lang w:eastAsia="en-US"/>
              </w:rPr>
            </w:pPr>
            <w:r>
              <w:rPr>
                <w:rFonts w:eastAsia="Times New Roman" w:ascii="Century Gothic" w:hAnsi="Century Gothic"/>
                <w:b/>
                <w:bCs/>
                <w:color w:val="641E46"/>
                <w:kern w:val="0"/>
                <w:sz w:val="18"/>
                <w:szCs w:val="16"/>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Normal"/>
        <w:rPr/>
      </w:pPr>
      <w:r>
        <w:rPr/>
      </w:r>
      <w:r>
        <w:br w:type="page"/>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pageBreakBefore/>
              <w:widowControl/>
              <w:spacing w:before="60" w:after="60"/>
              <w:jc w:val="left"/>
              <w:rPr>
                <w:b/>
                <w:b/>
                <w:color w:val="641E46"/>
                <w:sz w:val="18"/>
                <w:szCs w:val="16"/>
                <w:lang w:eastAsia="en-US"/>
              </w:rPr>
            </w:pPr>
            <w:r>
              <w:rPr>
                <w:rFonts w:eastAsia="Times New Roman" w:ascii="Century Gothic" w:hAnsi="Century Gothic"/>
                <w:b/>
                <w:bCs/>
                <w:color w:val="641E46"/>
                <w:kern w:val="0"/>
                <w:sz w:val="18"/>
                <w:szCs w:val="16"/>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INE/CRFE27/02SO/2020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 xml:space="preserve">La Comisión del Registro Federal de Electores aprueba someter a la consideración del órgano superior de dirección, el </w:t>
            </w:r>
            <w:r>
              <w:rPr>
                <w:rStyle w:val="InternetLink"/>
                <w:rFonts w:eastAsia="Times New Roman" w:ascii="Century Gothic" w:hAnsi="Century Gothic"/>
                <w:b w:val="false"/>
                <w:color w:val="auto"/>
                <w:kern w:val="0"/>
                <w:sz w:val="20"/>
                <w:szCs w:val="20"/>
                <w:u w:val="none"/>
                <w:lang w:val="es-MX" w:bidi="ar-SA"/>
              </w:rPr>
              <w:t>Proyecto de Acuerdo del Consejo General del Instituto Nacional Electoral por el que se aprueban las modificaciones a los “Lineamientos para la incorporación, actualización, exclusión y reincorporación de los registros de las ciudadanas y los ciudadanos en el Padrón Electoral y la Lista Nominal de Electores”, aprobados mediante diverso INE/CG192/2017</w:t>
            </w:r>
            <w:r>
              <w:rPr>
                <w:rFonts w:eastAsia="Times New Roman" w:ascii="Century Gothic" w:hAnsi="Century Gothic"/>
                <w:bCs/>
                <w:kern w:val="0"/>
                <w:sz w:val="20"/>
                <w:szCs w:val="20"/>
                <w:lang w:val="es-MX" w:eastAsia="en-US" w:bidi="ar-SA"/>
              </w:rPr>
              <w:t>.</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6"/>
                <w:lang w:eastAsia="en-US"/>
              </w:rPr>
            </w:pPr>
            <w:r>
              <w:rPr>
                <w:rFonts w:eastAsia="Times New Roman" w:ascii="Century Gothic" w:hAnsi="Century Gothic"/>
                <w:b/>
                <w:bCs/>
                <w:color w:val="641E46"/>
                <w:kern w:val="0"/>
                <w:sz w:val="18"/>
                <w:szCs w:val="16"/>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tbl>
      <w:tblPr>
        <w:tblStyle w:val="Tablaconcuadrcula"/>
        <w:tblW w:w="8838" w:type="dxa"/>
        <w:jc w:val="left"/>
        <w:tblInd w:w="0" w:type="dxa"/>
        <w:tblLayout w:type="fixed"/>
        <w:tblCellMar>
          <w:top w:w="0" w:type="dxa"/>
          <w:left w:w="108" w:type="dxa"/>
          <w:bottom w:w="0" w:type="dxa"/>
          <w:right w:w="108" w:type="dxa"/>
        </w:tblCellMar>
        <w:tblLook w:noVBand="1" w:val="04a0" w:noHBand="0" w:lastColumn="0" w:firstColumn="1" w:lastRow="0" w:firstRow="1"/>
      </w:tblPr>
      <w:tblGrid>
        <w:gridCol w:w="1261"/>
        <w:gridCol w:w="7576"/>
      </w:tblGrid>
      <w:tr>
        <w:trPr/>
        <w:tc>
          <w:tcPr>
            <w:tcW w:w="1261" w:type="dxa"/>
            <w:tcBorders>
              <w:top w:val="single" w:sz="4" w:space="0" w:color="641E46"/>
              <w:left w:val="nil"/>
              <w:bottom w:val="single" w:sz="4" w:space="0" w:color="641E46"/>
              <w:right w:val="nil"/>
            </w:tcBorders>
          </w:tcPr>
          <w:p>
            <w:pPr>
              <w:pStyle w:val="Normal"/>
              <w:widowControl/>
              <w:spacing w:before="60" w:after="60"/>
              <w:jc w:val="left"/>
              <w:rPr>
                <w:b/>
                <w:b/>
                <w:color w:val="641E46"/>
                <w:sz w:val="18"/>
                <w:szCs w:val="16"/>
                <w:lang w:eastAsia="en-US"/>
              </w:rPr>
            </w:pPr>
            <w:r>
              <w:rPr>
                <w:rFonts w:eastAsia="Times New Roman" w:ascii="Century Gothic" w:hAnsi="Century Gothic"/>
                <w:b/>
                <w:bCs/>
                <w:color w:val="641E46"/>
                <w:kern w:val="0"/>
                <w:sz w:val="18"/>
                <w:szCs w:val="16"/>
                <w:lang w:val="es-MX" w:eastAsia="en-US" w:bidi="ar-SA"/>
              </w:rPr>
              <w:t>Acuerdo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
                <w:b/>
                <w:bCs/>
                <w:color w:val="641E46"/>
                <w:sz w:val="22"/>
                <w:szCs w:val="22"/>
                <w:lang w:eastAsia="en-US"/>
              </w:rPr>
            </w:pPr>
            <w:r>
              <w:rPr>
                <w:rFonts w:eastAsia="Times New Roman" w:ascii="Century Gothic" w:hAnsi="Century Gothic"/>
                <w:b/>
                <w:bCs/>
                <w:color w:val="641E46"/>
                <w:kern w:val="0"/>
                <w:sz w:val="22"/>
                <w:szCs w:val="22"/>
                <w:lang w:val="es-MX" w:eastAsia="en-US" w:bidi="ar-SA"/>
              </w:rPr>
              <w:t>INE/CRFE28/02SO/2020</w:t>
            </w:r>
          </w:p>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 xml:space="preserve">La Comisión del Registro Federal de Electores aprueba someter a la consideración del órgano superior de dirección, el </w:t>
            </w:r>
            <w:r>
              <w:rPr>
                <w:rStyle w:val="InternetLink"/>
                <w:rFonts w:eastAsia="Times New Roman" w:ascii="Century Gothic" w:hAnsi="Century Gothic"/>
                <w:b w:val="false"/>
                <w:color w:val="auto"/>
                <w:kern w:val="0"/>
                <w:sz w:val="20"/>
                <w:szCs w:val="20"/>
                <w:u w:val="none"/>
                <w:lang w:val="es-MX" w:bidi="ar-SA"/>
              </w:rPr>
              <w:t>Proyecto de Acuerdo del Consejo General del Instituto Nacional Electoral por el que se aprueban los “Lineamientos para la conformación de la Lista Nominal de Electores Residentes en el Extranjero para los Procesos Electorales Locales 2020-2021”</w:t>
            </w:r>
            <w:r>
              <w:rPr>
                <w:rFonts w:eastAsia="Times New Roman" w:ascii="Century Gothic" w:hAnsi="Century Gothic"/>
                <w:bCs/>
                <w:kern w:val="0"/>
                <w:sz w:val="20"/>
                <w:szCs w:val="20"/>
                <w:lang w:val="es-MX" w:eastAsia="en-US" w:bidi="ar-SA"/>
              </w:rPr>
              <w:t>.</w:t>
            </w:r>
          </w:p>
        </w:tc>
      </w:tr>
      <w:tr>
        <w:trPr/>
        <w:tc>
          <w:tcPr>
            <w:tcW w:w="1261" w:type="dxa"/>
            <w:tcBorders>
              <w:top w:val="single" w:sz="4" w:space="0" w:color="641E46"/>
              <w:left w:val="nil"/>
              <w:bottom w:val="single" w:sz="4" w:space="0" w:color="641E46"/>
              <w:right w:val="nil"/>
            </w:tcBorders>
          </w:tcPr>
          <w:p>
            <w:pPr>
              <w:pStyle w:val="Normal"/>
              <w:widowControl/>
              <w:spacing w:before="60" w:after="60"/>
              <w:jc w:val="left"/>
              <w:rPr>
                <w:rFonts w:ascii="Century Gothic" w:hAnsi="Century Gothic"/>
                <w:b/>
                <w:b/>
                <w:bCs/>
                <w:color w:val="641E46"/>
                <w:sz w:val="18"/>
                <w:szCs w:val="16"/>
                <w:lang w:eastAsia="en-US"/>
              </w:rPr>
            </w:pPr>
            <w:r>
              <w:rPr>
                <w:rFonts w:eastAsia="Times New Roman" w:ascii="Century Gothic" w:hAnsi="Century Gothic"/>
                <w:b/>
                <w:bCs/>
                <w:color w:val="641E46"/>
                <w:kern w:val="0"/>
                <w:sz w:val="18"/>
                <w:szCs w:val="16"/>
                <w:lang w:val="es-MX" w:eastAsia="en-US" w:bidi="ar-SA"/>
              </w:rPr>
              <w:t>Sentido del voto</w:t>
            </w:r>
          </w:p>
        </w:tc>
        <w:tc>
          <w:tcPr>
            <w:tcW w:w="7576" w:type="dxa"/>
            <w:tcBorders>
              <w:top w:val="single" w:sz="4" w:space="0" w:color="641E46"/>
              <w:left w:val="nil"/>
              <w:bottom w:val="single" w:sz="4" w:space="0" w:color="641E46"/>
              <w:right w:val="nil"/>
            </w:tcBorders>
          </w:tcPr>
          <w:p>
            <w:pPr>
              <w:pStyle w:val="Normal"/>
              <w:widowControl/>
              <w:spacing w:before="60" w:after="60"/>
              <w:jc w:val="both"/>
              <w:rPr>
                <w:rFonts w:ascii="Century Gothic" w:hAnsi="Century Gothic"/>
                <w:bCs/>
                <w:sz w:val="20"/>
                <w:szCs w:val="20"/>
                <w:lang w:eastAsia="en-US"/>
              </w:rPr>
            </w:pPr>
            <w:r>
              <w:rPr>
                <w:rFonts w:eastAsia="Times New Roman" w:ascii="Century Gothic" w:hAnsi="Century Gothic"/>
                <w:bCs/>
                <w:kern w:val="0"/>
                <w:sz w:val="20"/>
                <w:szCs w:val="20"/>
                <w:lang w:val="es-MX" w:eastAsia="en-US" w:bidi="ar-SA"/>
              </w:rPr>
              <w:t>Se aprobó por votación unánime de la y los Consejeros Electorales, Mtra. Dania Paola Ravel Cuevas, Dr. José Roberto Ruiz Saldaña, y Mtro. Jaime Rivera Vel</w:t>
            </w:r>
            <w:bookmarkStart w:id="0" w:name="_GoBack"/>
            <w:bookmarkEnd w:id="0"/>
            <w:r>
              <w:rPr>
                <w:rFonts w:eastAsia="Times New Roman" w:ascii="Century Gothic" w:hAnsi="Century Gothic"/>
                <w:bCs/>
                <w:kern w:val="0"/>
                <w:sz w:val="20"/>
                <w:szCs w:val="20"/>
                <w:lang w:val="es-MX" w:eastAsia="en-US" w:bidi="ar-SA"/>
              </w:rPr>
              <w:t>ázquez, Presidente de la Comisión.</w:t>
            </w:r>
          </w:p>
        </w:tc>
      </w:tr>
    </w:tbl>
    <w:p>
      <w:pPr>
        <w:pStyle w:val="Normal"/>
        <w:jc w:val="both"/>
        <w:rPr>
          <w:rStyle w:val="InternetLink"/>
          <w:rFonts w:ascii="Century Gothic" w:hAnsi="Century Gothic"/>
          <w:b w:val="false"/>
          <w:b w:val="false"/>
          <w:color w:val="auto"/>
          <w:sz w:val="22"/>
          <w:szCs w:val="22"/>
          <w:u w:val="none"/>
        </w:rPr>
      </w:pPr>
      <w:r>
        <w:rPr>
          <w:rFonts w:ascii="Century Gothic" w:hAnsi="Century Gothic"/>
          <w:b w:val="false"/>
          <w:color w:val="auto"/>
          <w:sz w:val="22"/>
          <w:szCs w:val="22"/>
          <w:u w:val="none"/>
        </w:rPr>
      </w:r>
    </w:p>
    <w:p>
      <w:pPr>
        <w:pStyle w:val="Normal"/>
        <w:jc w:val="both"/>
        <w:rPr>
          <w:rStyle w:val="InternetLink"/>
          <w:rFonts w:ascii="Century Gothic" w:hAnsi="Century Gothic"/>
          <w:b w:val="false"/>
          <w:b w:val="false"/>
          <w:color w:val="auto"/>
          <w:sz w:val="22"/>
          <w:szCs w:val="22"/>
          <w:u w:val="none"/>
        </w:rPr>
      </w:pPr>
      <w:r>
        <w:rPr/>
      </w:r>
    </w:p>
    <w:sectPr>
      <w:headerReference w:type="default" r:id="rId3"/>
      <w:type w:val="nextPage"/>
      <w:pgSz w:w="12240" w:h="15840"/>
      <w:pgMar w:left="1701" w:right="1701" w:header="709" w:top="2552" w:footer="0"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Tahoma">
    <w:charset w:val="01"/>
    <w:family w:val="roman"/>
    <w:pitch w:val="variable"/>
  </w:font>
  <w:font w:name="Liberation Sans">
    <w:altName w:val="Arial"/>
    <w:charset w:val="01"/>
    <w:family w:val="swiss"/>
    <w:pitch w:val="variable"/>
  </w:font>
  <w:font w:name="Arial">
    <w:charset w:val="01"/>
    <w:family w:val="roman"/>
    <w:pitch w:val="variable"/>
  </w:font>
  <w:font w:name="Century Gothic">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jc w:val="center"/>
      <w:rPr/>
    </w:pPr>
    <w:r>
      <w:rPr/>
      <w:drawing>
        <wp:inline distT="0" distB="0" distL="0" distR="0">
          <wp:extent cx="1909445" cy="636270"/>
          <wp:effectExtent l="0" t="0" r="0" b="0"/>
          <wp:docPr id="1" name="0 Imagen"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
                  <pic:cNvPicPr>
                    <a:picLocks noChangeAspect="1" noChangeArrowheads="1"/>
                  </pic:cNvPicPr>
                </pic:nvPicPr>
                <pic:blipFill>
                  <a:blip r:embed="rId1"/>
                  <a:stretch>
                    <a:fillRect/>
                  </a:stretch>
                </pic:blipFill>
                <pic:spPr bwMode="auto">
                  <a:xfrm>
                    <a:off x="0" y="0"/>
                    <a:ext cx="1909445" cy="636270"/>
                  </a:xfrm>
                  <a:prstGeom prst="rect">
                    <a:avLst/>
                  </a:prstGeom>
                </pic:spPr>
              </pic:pic>
            </a:graphicData>
          </a:graphic>
        </wp:inline>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sz w:val="16"/>
        <w:b w:val="false"/>
        <w:szCs w:val="16"/>
        <w:rFonts w:ascii="Century Gothic" w:hAnsi="Century Gothic"/>
        <w:color w:val="641E46"/>
      </w:rPr>
    </w:lvl>
    <w:lvl w:ilvl="1">
      <w:start w:val="1"/>
      <w:numFmt w:val="decimal"/>
      <w:lvlText w:val="%1.%2."/>
      <w:lvlJc w:val="left"/>
      <w:pPr>
        <w:tabs>
          <w:tab w:val="num" w:pos="0"/>
        </w:tabs>
        <w:ind w:left="792" w:hanging="432"/>
      </w:pPr>
      <w:rPr>
        <w:sz w:val="16"/>
        <w:szCs w:val="20"/>
        <w:color w:val="641E46"/>
      </w:rPr>
    </w:lvl>
    <w:lvl w:ilvl="2">
      <w:start w:val="1"/>
      <w:numFmt w:val="decimal"/>
      <w:lvlText w:val="%1.%2.%3."/>
      <w:lvlJc w:val="left"/>
      <w:pPr>
        <w:tabs>
          <w:tab w:val="num" w:pos="0"/>
        </w:tabs>
        <w:ind w:left="1224" w:hanging="504"/>
      </w:pPr>
      <w:rPr>
        <w:sz w:val="2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es-MX"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s-MX" w:eastAsia="en-US" w:bidi="ar-SA"/>
      </w:rPr>
    </w:rPrDefault>
    <w:pPrDefault>
      <w:pPr>
        <w:suppressAutoHyphens w:val="true"/>
      </w:pPr>
    </w:pPrDefault>
  </w:docDefaults>
  <w:latentStyles w:defLockedState="0" w:defUIPriority="99" w:defSemiHidden="0" w:defUnhideWhenUsed="0" w:defQFormat="0" w:count="377">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styleId="Normal" w:default="1">
    <w:name w:val="Normal"/>
    <w:qFormat/>
    <w:rsid w:val="00c700da"/>
    <w:pPr>
      <w:widowControl/>
      <w:bidi w:val="0"/>
      <w:spacing w:before="0" w:after="0"/>
      <w:jc w:val="left"/>
    </w:pPr>
    <w:rPr>
      <w:rFonts w:ascii="Times New Roman" w:hAnsi="Times New Roman" w:cs="Times New Roman" w:eastAsia="Calibri" w:eastAsiaTheme="minorHAnsi"/>
      <w:color w:val="auto"/>
      <w:kern w:val="0"/>
      <w:sz w:val="24"/>
      <w:szCs w:val="24"/>
      <w:lang w:eastAsia="es-MX" w:val="es-MX" w:bidi="ar-SA"/>
    </w:rPr>
  </w:style>
  <w:style w:type="character" w:styleId="DefaultParagraphFont" w:default="1">
    <w:name w:val="Default Paragraph Font"/>
    <w:uiPriority w:val="1"/>
    <w:semiHidden/>
    <w:unhideWhenUsed/>
    <w:qFormat/>
    <w:rPr/>
  </w:style>
  <w:style w:type="character" w:styleId="InternetLink">
    <w:name w:val="Hyperlink"/>
    <w:basedOn w:val="DefaultParagraphFont"/>
    <w:uiPriority w:val="99"/>
    <w:unhideWhenUsed/>
    <w:rsid w:val="00c700da"/>
    <w:rPr>
      <w:b/>
      <w:bCs/>
      <w:color w:val="666666"/>
      <w:u w:val="single"/>
    </w:rPr>
  </w:style>
  <w:style w:type="character" w:styleId="Strong">
    <w:name w:val="Strong"/>
    <w:basedOn w:val="DefaultParagraphFont"/>
    <w:uiPriority w:val="22"/>
    <w:qFormat/>
    <w:rsid w:val="00c700da"/>
    <w:rPr>
      <w:b/>
      <w:bCs/>
    </w:rPr>
  </w:style>
  <w:style w:type="character" w:styleId="EncabezadoCar" w:customStyle="1">
    <w:name w:val="Encabezado Car"/>
    <w:basedOn w:val="DefaultParagraphFont"/>
    <w:link w:val="Encabezado"/>
    <w:uiPriority w:val="99"/>
    <w:qFormat/>
    <w:rsid w:val="00fd4b16"/>
    <w:rPr>
      <w:rFonts w:ascii="Times New Roman" w:hAnsi="Times New Roman" w:cs="Times New Roman"/>
      <w:sz w:val="24"/>
      <w:szCs w:val="24"/>
      <w:lang w:eastAsia="es-MX"/>
    </w:rPr>
  </w:style>
  <w:style w:type="character" w:styleId="PiedepginaCar" w:customStyle="1">
    <w:name w:val="Pie de página Car"/>
    <w:basedOn w:val="DefaultParagraphFont"/>
    <w:link w:val="Piedepgina"/>
    <w:uiPriority w:val="99"/>
    <w:qFormat/>
    <w:rsid w:val="00fd4b16"/>
    <w:rPr>
      <w:rFonts w:ascii="Times New Roman" w:hAnsi="Times New Roman" w:cs="Times New Roman"/>
      <w:sz w:val="24"/>
      <w:szCs w:val="24"/>
      <w:lang w:eastAsia="es-MX"/>
    </w:rPr>
  </w:style>
  <w:style w:type="character" w:styleId="TextodegloboCar" w:customStyle="1">
    <w:name w:val="Texto de globo Car"/>
    <w:basedOn w:val="DefaultParagraphFont"/>
    <w:link w:val="Textodeglobo"/>
    <w:uiPriority w:val="99"/>
    <w:semiHidden/>
    <w:qFormat/>
    <w:rsid w:val="00fd4b16"/>
    <w:rPr>
      <w:rFonts w:ascii="Tahoma" w:hAnsi="Tahoma" w:cs="Tahoma"/>
      <w:sz w:val="16"/>
      <w:szCs w:val="16"/>
      <w:lang w:eastAsia="es-MX"/>
    </w:rPr>
  </w:style>
  <w:style w:type="character" w:styleId="PrrafodelistaCar" w:customStyle="1">
    <w:name w:val="Párrafo de lista Car"/>
    <w:link w:val="Prrafodelista"/>
    <w:uiPriority w:val="34"/>
    <w:qFormat/>
    <w:locked/>
    <w:rsid w:val="00556237"/>
    <w:rPr>
      <w:rFonts w:ascii="Times New Roman" w:hAnsi="Times New Roman" w:cs="Times New Roman"/>
      <w:sz w:val="24"/>
      <w:szCs w:val="24"/>
      <w:lang w:eastAsia="es-MX"/>
    </w:rPr>
  </w:style>
  <w:style w:type="character" w:styleId="Annotationreference">
    <w:name w:val="annotation reference"/>
    <w:basedOn w:val="DefaultParagraphFont"/>
    <w:uiPriority w:val="99"/>
    <w:semiHidden/>
    <w:unhideWhenUsed/>
    <w:qFormat/>
    <w:rsid w:val="00c654da"/>
    <w:rPr>
      <w:sz w:val="16"/>
      <w:szCs w:val="16"/>
    </w:rPr>
  </w:style>
  <w:style w:type="character" w:styleId="TextocomentarioCar" w:customStyle="1">
    <w:name w:val="Texto comentario Car"/>
    <w:basedOn w:val="DefaultParagraphFont"/>
    <w:link w:val="Textocomentario"/>
    <w:uiPriority w:val="99"/>
    <w:semiHidden/>
    <w:qFormat/>
    <w:rsid w:val="00c654da"/>
    <w:rPr>
      <w:rFonts w:ascii="Times New Roman" w:hAnsi="Times New Roman" w:cs="Times New Roman"/>
      <w:sz w:val="20"/>
      <w:szCs w:val="20"/>
      <w:lang w:eastAsia="es-MX"/>
    </w:rPr>
  </w:style>
  <w:style w:type="character" w:styleId="AsuntodelcomentarioCar" w:customStyle="1">
    <w:name w:val="Asunto del comentario Car"/>
    <w:basedOn w:val="TextocomentarioCar"/>
    <w:link w:val="Asuntodelcomentario"/>
    <w:uiPriority w:val="99"/>
    <w:semiHidden/>
    <w:qFormat/>
    <w:rsid w:val="00c654da"/>
    <w:rPr>
      <w:rFonts w:ascii="Times New Roman" w:hAnsi="Times New Roman" w:cs="Times New Roman"/>
      <w:b/>
      <w:bCs/>
      <w:sz w:val="20"/>
      <w:szCs w:val="20"/>
      <w:lang w:eastAsia="es-MX"/>
    </w:rPr>
  </w:style>
  <w:style w:type="paragraph" w:styleId="Heading">
    <w:name w:val="Heading"/>
    <w:basedOn w:val="Normal"/>
    <w:next w:val="TextBody"/>
    <w:qFormat/>
    <w:pPr>
      <w:keepNext w:val="true"/>
      <w:spacing w:before="240" w:after="120"/>
    </w:pPr>
    <w:rPr>
      <w:rFonts w:ascii="Liberation Sans" w:hAnsi="Liberation Sans"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NormalWeb">
    <w:name w:val="Normal (Web)"/>
    <w:basedOn w:val="Normal"/>
    <w:uiPriority w:val="99"/>
    <w:unhideWhenUsed/>
    <w:qFormat/>
    <w:rsid w:val="00c700da"/>
    <w:pPr>
      <w:spacing w:beforeAutospacing="1" w:afterAutospacing="1"/>
    </w:pPr>
    <w:rPr/>
  </w:style>
  <w:style w:type="paragraph" w:styleId="ListParagraph">
    <w:name w:val="List Paragraph"/>
    <w:basedOn w:val="Normal"/>
    <w:link w:val="PrrafodelistaCar"/>
    <w:uiPriority w:val="34"/>
    <w:qFormat/>
    <w:rsid w:val="00c700da"/>
    <w:pPr>
      <w:spacing w:before="0" w:after="0"/>
      <w:ind w:left="720" w:hanging="0"/>
      <w:contextualSpacing/>
    </w:pPr>
    <w:rPr/>
  </w:style>
  <w:style w:type="paragraph" w:styleId="HeaderandFooter">
    <w:name w:val="Header and Footer"/>
    <w:basedOn w:val="Normal"/>
    <w:qFormat/>
    <w:pPr/>
    <w:rPr/>
  </w:style>
  <w:style w:type="paragraph" w:styleId="Header">
    <w:name w:val="Header"/>
    <w:basedOn w:val="Normal"/>
    <w:link w:val="EncabezadoCar"/>
    <w:uiPriority w:val="99"/>
    <w:unhideWhenUsed/>
    <w:rsid w:val="00fd4b16"/>
    <w:pPr>
      <w:tabs>
        <w:tab w:val="clear" w:pos="708"/>
        <w:tab w:val="center" w:pos="4419" w:leader="none"/>
        <w:tab w:val="right" w:pos="8838" w:leader="none"/>
      </w:tabs>
    </w:pPr>
    <w:rPr/>
  </w:style>
  <w:style w:type="paragraph" w:styleId="Footer">
    <w:name w:val="Footer"/>
    <w:basedOn w:val="Normal"/>
    <w:link w:val="PiedepginaCar"/>
    <w:uiPriority w:val="99"/>
    <w:unhideWhenUsed/>
    <w:rsid w:val="00fd4b16"/>
    <w:pPr>
      <w:tabs>
        <w:tab w:val="clear" w:pos="708"/>
        <w:tab w:val="center" w:pos="4419" w:leader="none"/>
        <w:tab w:val="right" w:pos="8838" w:leader="none"/>
      </w:tabs>
    </w:pPr>
    <w:rPr/>
  </w:style>
  <w:style w:type="paragraph" w:styleId="BalloonText">
    <w:name w:val="Balloon Text"/>
    <w:basedOn w:val="Normal"/>
    <w:link w:val="TextodegloboCar"/>
    <w:uiPriority w:val="99"/>
    <w:semiHidden/>
    <w:unhideWhenUsed/>
    <w:qFormat/>
    <w:rsid w:val="00fd4b16"/>
    <w:pPr/>
    <w:rPr>
      <w:rFonts w:ascii="Tahoma" w:hAnsi="Tahoma" w:cs="Tahoma"/>
      <w:sz w:val="16"/>
      <w:szCs w:val="16"/>
    </w:rPr>
  </w:style>
  <w:style w:type="paragraph" w:styleId="Default" w:customStyle="1">
    <w:name w:val="Default"/>
    <w:qFormat/>
    <w:rsid w:val="005d0d22"/>
    <w:pPr>
      <w:widowControl/>
      <w:bidi w:val="0"/>
      <w:spacing w:before="0" w:after="0"/>
      <w:jc w:val="left"/>
    </w:pPr>
    <w:rPr>
      <w:rFonts w:ascii="Arial" w:hAnsi="Arial" w:cs="Arial" w:eastAsia="Calibri"/>
      <w:color w:val="000000"/>
      <w:kern w:val="0"/>
      <w:sz w:val="24"/>
      <w:szCs w:val="24"/>
      <w:lang w:val="es-MX" w:eastAsia="en-US" w:bidi="ar-SA"/>
    </w:rPr>
  </w:style>
  <w:style w:type="paragraph" w:styleId="Annotationtext">
    <w:name w:val="annotation text"/>
    <w:basedOn w:val="Normal"/>
    <w:link w:val="TextocomentarioCar"/>
    <w:uiPriority w:val="99"/>
    <w:semiHidden/>
    <w:unhideWhenUsed/>
    <w:qFormat/>
    <w:rsid w:val="00c654da"/>
    <w:pPr/>
    <w:rPr>
      <w:sz w:val="20"/>
      <w:szCs w:val="20"/>
    </w:rPr>
  </w:style>
  <w:style w:type="paragraph" w:styleId="Annotationsubject">
    <w:name w:val="annotation subject"/>
    <w:basedOn w:val="Annotationtext"/>
    <w:next w:val="Annotationtext"/>
    <w:link w:val="AsuntodelcomentarioCar"/>
    <w:uiPriority w:val="99"/>
    <w:semiHidden/>
    <w:unhideWhenUsed/>
    <w:qFormat/>
    <w:rsid w:val="00c654da"/>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CellMar>
        <w:top w:w="0" w:type="dxa"/>
        <w:left w:w="108" w:type="dxa"/>
        <w:bottom w:w="0" w:type="dxa"/>
        <w:right w:w="108" w:type="dxa"/>
      </w:tblCellMar>
    </w:tblPr>
  </w:style>
  <w:style w:type="table" w:styleId="Tablaconcuadrcula">
    <w:name w:val="Table Grid"/>
    <w:basedOn w:val="Tablanormal"/>
    <w:rsid w:val="005345f3"/>
    <w:pPr>
      <w:spacing w:before="0" w:after="0"/>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C:/Users/Cesar%20Ledesma/AppData/Local/Microsoft/Windows/Temporary%20Internet%20Files/Content.Outlook/QN2IAJJ4/4ta-SO-CORFE-P01_ODD.docx" TargetMode="External"/><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E1E84-E950-47A9-B797-64649FBBF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Application>LibreOffice/7.0.3.1$Linux_X86_64 LibreOffice_project/00$Build-1</Application>
  <Pages>3</Pages>
  <Words>734</Words>
  <Characters>4063</Characters>
  <CharactersWithSpaces>4744</CharactersWithSpaces>
  <Paragraphs>48</Paragraphs>
  <Company>INSTITUTO FEDERAL ELECTORAL</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2020-05-26T23:03:00Z</dcterms:created>
  <dc:creator>LCAMACHO</dc:creator>
  <dc:description/>
  <dc:language>en-US</dc:language>
  <cp:lastModifiedBy/>
  <cp:lastPrinted>2018-08-11T00:53:00Z</cp:lastPrinted>
  <dcterms:modified xsi:type="dcterms:W3CDTF">2020-11-24T12:56:32Z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INSTITUTO FEDERAL ELECTORAL</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